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8"/>
        <w:spacing w:before="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по федеральным мерам поддержки</w:t>
      </w:r>
      <w:r>
        <w:rPr>
          <w:rFonts w:ascii="Times New Roman" w:hAnsi="Times New Roman" w:cs="Times New Roman"/>
          <w:b/>
          <w:sz w:val="28"/>
          <w:szCs w:val="28"/>
        </w:rPr>
      </w:r>
      <w:r>
        <w:rPr>
          <w:rFonts w:ascii="Times New Roman" w:hAnsi="Times New Roman" w:cs="Times New Roman"/>
          <w:b/>
          <w:sz w:val="28"/>
          <w:szCs w:val="28"/>
        </w:rPr>
      </w:r>
    </w:p>
    <w:p>
      <w:pPr>
        <w:pStyle w:val="678"/>
        <w:spacing w:before="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tbl>
      <w:tblPr>
        <w:tblW w:w="15127" w:type="dxa"/>
        <w:tblInd w:w="0" w:type="dxa"/>
        <w:tblLayout w:type="fixed"/>
        <w:tblCellMar>
          <w:left w:w="108" w:type="dxa"/>
          <w:top w:w="0" w:type="dxa"/>
          <w:right w:w="108" w:type="dxa"/>
          <w:bottom w:w="0" w:type="dxa"/>
        </w:tblCellMar>
        <w:tblLook w:val="04A0" w:firstRow="1" w:lastRow="0" w:firstColumn="1" w:lastColumn="0" w:noHBand="0" w:noVBand="1"/>
      </w:tblPr>
      <w:tblGrid>
        <w:gridCol w:w="2845"/>
        <w:gridCol w:w="2334"/>
        <w:gridCol w:w="2847"/>
        <w:gridCol w:w="7101"/>
      </w:tblGrid>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меры поддержки</w:t>
            </w:r>
            <w:r>
              <w:rPr>
                <w:rFonts w:ascii="Times New Roman" w:hAnsi="Times New Roman" w:cs="Times New Roman"/>
                <w:b/>
                <w:sz w:val="24"/>
                <w:szCs w:val="24"/>
              </w:rPr>
            </w:r>
            <w:r>
              <w:rPr>
                <w:rFonts w:ascii="Times New Roman" w:hAnsi="Times New Roman" w:cs="Times New Roman"/>
                <w:b/>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Администратор меры поддержки</w:t>
            </w:r>
            <w:r>
              <w:rPr>
                <w:rFonts w:ascii="Times New Roman" w:hAnsi="Times New Roman" w:cs="Times New Roman"/>
                <w:b/>
                <w:sz w:val="24"/>
                <w:szCs w:val="24"/>
              </w:rPr>
            </w:r>
            <w:r>
              <w:rPr>
                <w:rFonts w:ascii="Times New Roman" w:hAnsi="Times New Roman" w:cs="Times New Roman"/>
                <w:b/>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Нормативный правовой документ, регулирующий предоставление меры</w:t>
            </w:r>
            <w:r>
              <w:rPr>
                <w:rFonts w:ascii="Times New Roman" w:hAnsi="Times New Roman" w:cs="Times New Roman"/>
                <w:b/>
                <w:sz w:val="24"/>
                <w:szCs w:val="24"/>
              </w:rPr>
            </w:r>
            <w:r>
              <w:rPr>
                <w:rFonts w:ascii="Times New Roman" w:hAnsi="Times New Roman" w:cs="Times New Roman"/>
                <w:b/>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Ссылка</w:t>
            </w:r>
            <w:r>
              <w:rPr>
                <w:rFonts w:ascii="Times New Roman" w:hAnsi="Times New Roman" w:cs="Times New Roman"/>
                <w:b/>
                <w:sz w:val="24"/>
                <w:szCs w:val="24"/>
              </w:rPr>
            </w:r>
            <w:r>
              <w:rPr>
                <w:rFonts w:ascii="Times New Roman" w:hAnsi="Times New Roman" w:cs="Times New Roman"/>
                <w:b/>
                <w:sz w:val="24"/>
                <w:szCs w:val="24"/>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Обеспечение бесперебойной и эффективной работы предприятий всех отраслей.</w:t>
            </w:r>
            <w:r>
              <w:rPr>
                <w:rFonts w:ascii="Times New Roman" w:hAnsi="Times New Roman" w:cs="Times New Roman"/>
                <w:b/>
                <w:sz w:val="24"/>
                <w:szCs w:val="24"/>
              </w:rPr>
            </w:r>
            <w:r>
              <w:rPr>
                <w:rFonts w:ascii="Times New Roman" w:hAnsi="Times New Roman" w:cs="Times New Roman"/>
                <w:b/>
                <w:sz w:val="24"/>
                <w:szCs w:val="24"/>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49"/>
              <w:widowControl w:val="off"/>
              <w:numPr>
                <w:numId w:val="1"/>
                <w:ilvl w:val="1"/>
              </w:numPr>
              <w:spacing w:before="0"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Обеспеченность предприятий сырьем, материалами и компонентами, сохранение безопасности и обеспечение устойчивой работы оборудования.</w:t>
            </w:r>
            <w:r>
              <w:rPr>
                <w:rFonts w:ascii="Times New Roman" w:hAnsi="Times New Roman" w:cs="Times New Roman"/>
                <w:b/>
                <w:i/>
                <w:sz w:val="24"/>
                <w:szCs w:val="24"/>
              </w:rPr>
            </w:r>
            <w:r>
              <w:rPr>
                <w:rFonts w:ascii="Times New Roman" w:hAnsi="Times New Roman" w:cs="Times New Roman"/>
                <w:b/>
                <w:i/>
                <w:sz w:val="24"/>
                <w:szCs w:val="24"/>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1.1.1. Импортозамещение</w:t>
            </w:r>
            <w:r>
              <w:rPr>
                <w:rFonts w:ascii="Times New Roman" w:hAnsi="Times New Roman" w:cs="Times New Roman"/>
                <w:b/>
                <w:i/>
                <w:sz w:val="24"/>
                <w:szCs w:val="24"/>
                <w:u w:val="single"/>
              </w:rPr>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«Проекты развития» (льготное заёмное финансирование под 3% и 5% годовых на проекты, направленные на импортозамещение, про</w:t>
            </w:r>
            <w:r>
              <w:rPr>
                <w:rFonts w:ascii="Times New Roman" w:hAnsi="Times New Roman" w:cs="Times New Roman"/>
                <w:sz w:val="24"/>
                <w:szCs w:val="24"/>
              </w:rPr>
              <w:t xml:space="preserve">изводство конкурентоспособной продукции, продукции гражданского и двойного назначения, выпуск средств производства, оборудования и станков, помощь с внедрением программных и технологических решений (цифровизацию) для оптимизации производственных процессов)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СФ-И-51 от 13.10.2022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10" w:tooltip="https://frprf.ru/zaymy/proekty-razvitiya/" w:history="1">
              <w:r>
                <w:rPr>
                  <w:rStyle w:val="711"/>
                  <w:rFonts w:ascii="Times New Roman" w:hAnsi="Times New Roman" w:cs="Times New Roman"/>
                  <w:sz w:val="12"/>
                  <w:szCs w:val="12"/>
                </w:rPr>
                <w:t xml:space="preserve">https://frprf.ru/zaymy/proekty-razvitiya/</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1" w:tooltip="https://gisp.gov.ru/nmp/measure/6628507" w:history="1">
              <w:r>
                <w:rPr>
                  <w:rStyle w:val="711"/>
                  <w:rFonts w:ascii="Times New Roman" w:hAnsi="Times New Roman" w:cs="Times New Roman"/>
                  <w:sz w:val="12"/>
                  <w:szCs w:val="12"/>
                </w:rPr>
                <w:t xml:space="preserve">https://gisp.gov.ru/nmp/measure/6628507</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«Комплектующие изделия» (займы под 3% и 5% годовых на проекты, направленные на модерниз</w:t>
            </w:r>
            <w:r>
              <w:rPr>
                <w:rFonts w:ascii="Times New Roman" w:hAnsi="Times New Roman" w:cs="Times New Roman"/>
                <w:sz w:val="24"/>
                <w:szCs w:val="24"/>
              </w:rPr>
              <w:t xml:space="preserve">ацию или организацию производства комплектующих изделий, повышающих уровень локализации конечной российской продукции, а также проектов, направленных на импортозамещение критически важной для устойчивого функционирования промышленных предприятий продукции)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СФ-И-87 от 13.10.2022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12" w:tooltip="https://frprf.ru/zaymy/komplektuyushchie/" w:history="1">
              <w:r>
                <w:rPr>
                  <w:rStyle w:val="711"/>
                  <w:rFonts w:ascii="Times New Roman" w:hAnsi="Times New Roman" w:cs="Times New Roman"/>
                  <w:sz w:val="12"/>
                  <w:szCs w:val="12"/>
                </w:rPr>
                <w:t xml:space="preserve">https://frprf.ru/zaymy/komplektuyushchie/</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3" w:tooltip="https://gisp.gov.ru/nmp/measure/8124256" w:history="1">
              <w:r>
                <w:rPr>
                  <w:rStyle w:val="711"/>
                  <w:rFonts w:ascii="Times New Roman" w:hAnsi="Times New Roman" w:cs="Times New Roman"/>
                  <w:sz w:val="12"/>
                  <w:szCs w:val="12"/>
                </w:rPr>
                <w:t xml:space="preserve">https://gisp.gov.ru/nmp/measure/8124256</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widowControl w:val="off"/>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r>
            <w:r>
              <w:rPr>
                <w:rFonts w:ascii="Times New Roman" w:hAnsi="Times New Roman" w:cs="Times New Roman"/>
                <w:sz w:val="24"/>
                <w:szCs w:val="24"/>
                <w14:ligatures w14:val="none"/>
              </w:rPr>
            </w:r>
            <w:r>
              <w:rPr>
                <w:rFonts w:ascii="Times New Roman" w:hAnsi="Times New Roman" w:cs="Times New Roman"/>
                <w:sz w:val="24"/>
                <w:szCs w:val="24"/>
                <w14:ligatures w14:val="non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СФ-И-203 от 25.12.2023</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14" w:tooltip="https://frprf.ru/zaymy/avtokomponenty/" w:history="1">
              <w:r>
                <w:rPr>
                  <w:rStyle w:val="711"/>
                  <w:rFonts w:ascii="Times New Roman" w:hAnsi="Times New Roman" w:cs="Times New Roman"/>
                  <w:sz w:val="12"/>
                  <w:szCs w:val="12"/>
                </w:rPr>
                <w:t xml:space="preserve">https://frprf.ru/zaymy/avtokomponenty/</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5" w:tooltip="https://gisp.gov.ru/nmp/measure/12447705" w:history="1">
              <w:r>
                <w:rPr>
                  <w:rStyle w:val="711"/>
                  <w:rFonts w:ascii="Times New Roman" w:hAnsi="Times New Roman" w:cs="Times New Roman"/>
                  <w:sz w:val="12"/>
                  <w:szCs w:val="12"/>
                </w:rPr>
                <w:t xml:space="preserve">https://gisp.gov.ru/nmp/measure/12447705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«Лизинговые проекты» (льготное заемное финансирование на оплату до 90% авансового платежа по лизинговой сделке для технологического перевооружения и модернизации основных производственных фондов российских предприятий)</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СФ-И-53 от 20.10.2022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16" w:tooltip="https://frprf.ru/zaymy/lizing/" w:history="1">
              <w:r>
                <w:rPr>
                  <w:rStyle w:val="711"/>
                  <w:rFonts w:ascii="Times New Roman" w:hAnsi="Times New Roman" w:cs="Times New Roman"/>
                  <w:sz w:val="12"/>
                  <w:szCs w:val="12"/>
                </w:rPr>
                <w:t xml:space="preserve">https://frprf.ru/zaymy/lizing/</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7" w:tooltip="https://gisp.gov.ru/nmp/measure/7709634" w:history="1">
              <w:r>
                <w:rPr>
                  <w:rStyle w:val="711"/>
                  <w:rFonts w:ascii="Times New Roman" w:hAnsi="Times New Roman" w:cs="Times New Roman"/>
                  <w:sz w:val="12"/>
                  <w:szCs w:val="12"/>
                </w:rPr>
                <w:t xml:space="preserve">https://gisp.gov.ru/nmp/measure/7709634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компонентной и ресурсной базы» (льготное заёмное финансирование под 7% годовых на приобретение оснастки для промышленного производства)</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СФ-И-204 от 15.11.2022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18" w:tooltip="https://frprf.ru/zaymy/formirovanie-komponentnoy-i-resursnoy-bazys/" w:history="1">
              <w:r>
                <w:rPr>
                  <w:rStyle w:val="711"/>
                  <w:rFonts w:ascii="Times New Roman" w:hAnsi="Times New Roman" w:cs="Times New Roman"/>
                  <w:sz w:val="12"/>
                  <w:szCs w:val="12"/>
                </w:rPr>
                <w:t xml:space="preserve">https://frprf.ru/zaymy/formirovanie-komponentnoy-i-resursnoy-bazys/</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9" w:tooltip="https://gisp.gov.ru/nmp/measure/12447485" w:history="1">
              <w:r>
                <w:rPr>
                  <w:rStyle w:val="711"/>
                  <w:rFonts w:ascii="Times New Roman" w:hAnsi="Times New Roman" w:cs="Times New Roman"/>
                  <w:sz w:val="12"/>
                  <w:szCs w:val="12"/>
                </w:rPr>
                <w:t xml:space="preserve">https://gisp.gov.ru/nmp/measure/12447485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финансовое обеспечение части затрат на создание электронной компонентной базы и модулей (компенсация до 90% затрат на разработку электронной компонентной базы (ЭКБ) и модулей в рамках реализации комплексного проекта)</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24.07.2021 № 1252</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компонентной базы и модулей»</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от 22 января 2024 г. № 23-66844-00830-Р</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20" w:tooltip="https://gisp.gov.ru/support-measures/list/12447429/" w:history="1">
              <w:r>
                <w:rPr>
                  <w:rStyle w:val="711"/>
                  <w:rFonts w:ascii="Times New Roman" w:hAnsi="Times New Roman" w:cs="Times New Roman"/>
                  <w:sz w:val="12"/>
                  <w:szCs w:val="12"/>
                </w:rPr>
                <w:t xml:space="preserve">https://gisp.gov.ru/support-measures/list/12447429/</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участникам промкластеров на возмещение части затрат при реализации совместных проектов по производству промышленной продукции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28.01.2016 № 41</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22-68641-00035-Р от 21.08.2024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Style w:val="711"/>
                <w:rFonts w:ascii="Times New Roman" w:hAnsi="Times New Roman" w:cs="Times New Roman"/>
                <w:sz w:val="12"/>
                <w:szCs w:val="12"/>
              </w:rPr>
              <w:t xml:space="preserve">https://gisp.gov.ru/support-measures/list/6616914/</w:t>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shd w:val="clear" w:color="auto" w:fill="d4ea6b"/>
              </w:rPr>
            </w:pPr>
            <w:r>
              <w:rPr>
                <w:shd w:val="clear" w:color="auto" w:fill="d4ea6b"/>
              </w:rPr>
            </w:r>
            <w:r>
              <w:rPr>
                <w:shd w:val="clear" w:color="auto" w:fill="d4ea6b"/>
              </w:rPr>
            </w:r>
            <w:r>
              <w:rPr>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Субсидия для производителей БАС на возмещение недополученных доходов, связанных с предоставлением скидки покупателям</w:t>
            </w:r>
            <w:r>
              <w:rPr>
                <w:shd w:val="clear" w:color="auto" w:fill="ffffff"/>
              </w:rPr>
            </w:r>
            <w:r>
              <w:rPr>
                <w:shd w:val="clear" w:color="auto" w:fill="ffffff"/>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24-66221-01392-Р от 14.08.2024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21" w:tooltip="https://gisp.gov.ru/nmp/measure/12448510" w:history="1">
              <w:r>
                <w:rPr>
                  <w:rStyle w:val="711"/>
                  <w:rFonts w:ascii="Times New Roman" w:hAnsi="Times New Roman" w:cs="Times New Roman"/>
                  <w:sz w:val="12"/>
                  <w:szCs w:val="12"/>
                </w:rPr>
                <w:t xml:space="preserve">https://gisp.gov.ru/nmp/measure/12448510</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color w:val="auto"/>
                <w:sz w:val="24"/>
                <w:szCs w:val="24"/>
                <w14:ligatures w14:val="none"/>
              </w:rPr>
            </w:pPr>
            <w:r>
              <w:rPr>
                <w:rFonts w:ascii="Times New Roman" w:hAnsi="Times New Roman" w:cs="Times New Roman"/>
                <w:color w:val="auto"/>
                <w:sz w:val="24"/>
                <w:szCs w:val="24"/>
              </w:rPr>
              <w:t xml:space="preserve">Субсидии производителям автокомпонентов на финансовое обеспечение погашения займов, привлеченных в ФРП</w:t>
            </w:r>
            <w:r>
              <w:rPr>
                <w:rFonts w:ascii="Times New Roman" w:hAnsi="Times New Roman" w:cs="Times New Roman"/>
                <w:color w:val="auto"/>
                <w:sz w:val="24"/>
                <w:szCs w:val="24"/>
                <w14:ligatures w14:val="none"/>
              </w:rPr>
            </w:r>
            <w:r>
              <w:rPr>
                <w:rFonts w:ascii="Times New Roman" w:hAnsi="Times New Roman" w:cs="Times New Roman"/>
                <w:color w:val="auto"/>
                <w:sz w:val="24"/>
                <w:szCs w:val="24"/>
                <w14:ligatures w14:val="none"/>
              </w:rPr>
            </w:r>
          </w:p>
          <w:p>
            <w:pPr>
              <w:pStyle w:val="678"/>
              <w:widowControl w:val="off"/>
              <w:spacing w:before="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r>
            <w:r>
              <w:rPr>
                <w:rFonts w:ascii="Times New Roman" w:hAnsi="Times New Roman" w:cs="Times New Roman"/>
                <w:color w:val="auto"/>
                <w:sz w:val="24"/>
                <w:szCs w:val="24"/>
              </w:rPr>
            </w:r>
            <w:r>
              <w:rPr>
                <w:rFonts w:ascii="Times New Roman" w:hAnsi="Times New Roman" w:cs="Times New Roman"/>
                <w:color w:val="auto"/>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color w:val="auto"/>
                <w:sz w:val="24"/>
                <w:szCs w:val="24"/>
                <w14:ligatures w14:val="none"/>
              </w:rPr>
            </w:pPr>
            <w:r>
              <w:rPr>
                <w:rFonts w:ascii="Times New Roman" w:hAnsi="Times New Roman" w:cs="Times New Roman"/>
                <w:color w:val="auto"/>
                <w:sz w:val="24"/>
                <w:szCs w:val="24"/>
              </w:rPr>
              <w:t xml:space="preserve">Минпромторг России</w:t>
            </w:r>
            <w:r>
              <w:rPr>
                <w:rFonts w:ascii="Times New Roman" w:hAnsi="Times New Roman" w:cs="Times New Roman"/>
                <w:color w:val="auto"/>
                <w:sz w:val="24"/>
                <w:szCs w:val="24"/>
                <w14:ligatures w14:val="none"/>
              </w:rPr>
            </w:r>
            <w:r>
              <w:rPr>
                <w:rFonts w:ascii="Times New Roman" w:hAnsi="Times New Roman" w:cs="Times New Roman"/>
                <w:color w:val="auto"/>
                <w:sz w:val="24"/>
                <w:szCs w:val="24"/>
                <w14:ligatures w14:val="none"/>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color w:val="auto"/>
                <w:sz w:val="24"/>
                <w:szCs w:val="24"/>
                <w14:ligatures w14:val="none"/>
              </w:rPr>
            </w:pPr>
            <w:r>
              <w:rPr>
                <w:rFonts w:ascii="Times New Roman" w:hAnsi="Times New Roman" w:cs="Times New Roman"/>
                <w:color w:val="auto"/>
                <w:sz w:val="24"/>
                <w:szCs w:val="24"/>
              </w:rPr>
              <w:t xml:space="preserve">Постановление Правительства РФ от 30.06.2022 № 1176 </w:t>
            </w:r>
            <w:r>
              <w:rPr>
                <w:rFonts w:ascii="Times New Roman" w:hAnsi="Times New Roman" w:cs="Times New Roman"/>
                <w:color w:val="auto"/>
                <w:sz w:val="24"/>
                <w:szCs w:val="24"/>
              </w:rPr>
              <w:t xml:space="preserve">«Об утверждении Правил предоставления из федерального бюджета субсидий российским производителям узлов и агрегатов для колесных транспортных средств и специализированной техники на финансовое обеспечение </w:t>
            </w:r>
            <w:r>
              <w:rPr>
                <w:rFonts w:ascii="Times New Roman" w:hAnsi="Times New Roman" w:cs="Times New Roman"/>
                <w:color w:val="auto"/>
                <w:sz w:val="24"/>
                <w:szCs w:val="24"/>
              </w:rPr>
              <w:t xml:space="preserve">погашения займов, привлеченных ими в федеральном государственном автономном учреждении  «Российский фонд технологического развития»</w:t>
            </w:r>
            <w:r>
              <w:rPr>
                <w:rFonts w:ascii="Times New Roman" w:hAnsi="Times New Roman" w:cs="Times New Roman"/>
                <w:color w:val="auto"/>
                <w:sz w:val="24"/>
                <w:szCs w:val="24"/>
                <w14:ligatures w14:val="none"/>
              </w:rPr>
            </w:r>
            <w:r>
              <w:rPr>
                <w:rFonts w:ascii="Times New Roman" w:hAnsi="Times New Roman" w:cs="Times New Roman"/>
                <w:color w:val="auto"/>
                <w:sz w:val="24"/>
                <w:szCs w:val="24"/>
                <w14:ligatures w14:val="non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14:ligatures w14:val="none"/>
              </w:rPr>
            </w:pPr>
            <w:r>
              <w:rPr>
                <w:rStyle w:val="711"/>
                <w:rFonts w:ascii="Times New Roman" w:hAnsi="Times New Roman" w:cs="Times New Roman"/>
                <w:sz w:val="12"/>
                <w:szCs w:val="12"/>
              </w:rPr>
            </w:r>
            <w:r>
              <w:rPr>
                <w:rStyle w:val="711"/>
                <w:rFonts w:ascii="Times New Roman" w:hAnsi="Times New Roman" w:cs="Times New Roman"/>
                <w:sz w:val="12"/>
                <w:szCs w:val="12"/>
              </w:rPr>
            </w:r>
            <w:hyperlink r:id="rId22" w:tooltip="https://gisp.gov.ru/nmp/measure/12447931" w:history="1">
              <w:r>
                <w:rPr>
                  <w:rStyle w:val="711"/>
                  <w:rFonts w:ascii="Times New Roman" w:hAnsi="Times New Roman" w:cs="Times New Roman"/>
                  <w:sz w:val="12"/>
                  <w:szCs w:val="12"/>
                </w:rPr>
                <w:t xml:space="preserve">https://gisp.gov.ru/nmp/measure/12447931</w:t>
              </w:r>
              <w:r>
                <w:rPr>
                  <w:rStyle w:val="711"/>
                  <w:rFonts w:ascii="Times New Roman" w:hAnsi="Times New Roman" w:cs="Times New Roman"/>
                  <w:sz w:val="12"/>
                  <w:szCs w:val="12"/>
                </w:rPr>
              </w:r>
              <w:r>
                <w:rPr>
                  <w:rStyle w:val="711"/>
                  <w:rFonts w:ascii="Times New Roman" w:hAnsi="Times New Roman" w:cs="Times New Roman"/>
                  <w:sz w:val="12"/>
                  <w:szCs w:val="12"/>
                </w:rPr>
              </w:r>
            </w:hyperlink>
            <w:r>
              <w:rPr>
                <w:rFonts w:ascii="Times New Roman" w:hAnsi="Times New Roman" w:cs="Times New Roman"/>
                <w:sz w:val="12"/>
                <w:szCs w:val="12"/>
                <w14:ligatures w14:val="none"/>
              </w:rPr>
            </w:r>
            <w:r>
              <w:rPr>
                <w:rFonts w:ascii="Times New Roman" w:hAnsi="Times New Roman" w:cs="Times New Roman"/>
                <w:sz w:val="12"/>
                <w:szCs w:val="12"/>
                <w14:ligatures w14:val="none"/>
              </w:rPr>
            </w:r>
          </w:p>
          <w:p>
            <w:pPr>
              <w:widowControl w:val="off"/>
              <w:spacing w:before="0" w:after="0" w:line="240" w:lineRule="auto"/>
              <w:jc w:val="center"/>
            </w:pPr>
            <w:r>
              <w:rPr>
                <w:highlight w:val="non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Гранты в форме субсидий на сертификацию беспилотных авиационных систем</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w:t>
            </w:r>
            <w:r>
              <w:rPr>
                <w:rFonts w:ascii="Times New Roman" w:hAnsi="Times New Roman" w:cs="Times New Roman"/>
                <w:color w:val="040614"/>
                <w:sz w:val="24"/>
                <w:szCs w:val="24"/>
              </w:rPr>
              <w:t xml:space="preserve">24-66270-01454-Р от 07.03.2024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23" w:tooltip="https://gisp.gov.ru/nmp/measure/12448494" w:history="1">
              <w:r>
                <w:rPr>
                  <w:rStyle w:val="711"/>
                  <w:rFonts w:ascii="Times New Roman" w:hAnsi="Times New Roman" w:cs="Times New Roman"/>
                  <w:sz w:val="12"/>
                  <w:szCs w:val="12"/>
                </w:rPr>
                <w:t xml:space="preserve">https://gisp.gov.ru/nmp/measure/12448494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Style w:val="711"/>
                <w:rFonts w:ascii="Times New Roman" w:hAnsi="Times New Roman" w:cs="Times New Roman"/>
                <w:color w:val="000000"/>
                <w:sz w:val="24"/>
                <w:szCs w:val="24"/>
                <w:u w:val="none"/>
                <w:shd w:val="clear" w:color="auto" w:fill="d4ea6b"/>
              </w:rPr>
            </w:pPr>
            <w:r>
              <w:rPr>
                <w:rFonts w:ascii="Times New Roman" w:hAnsi="Times New Roman" w:cs="Times New Roman"/>
                <w:color w:val="000000"/>
                <w:sz w:val="24"/>
                <w:szCs w:val="24"/>
                <w:u w:val="none"/>
                <w:shd w:val="clear" w:color="auto" w:fill="d4ea6b"/>
              </w:rPr>
            </w:r>
            <w:r>
              <w:rPr>
                <w:rStyle w:val="711"/>
                <w:rFonts w:ascii="Times New Roman" w:hAnsi="Times New Roman" w:cs="Times New Roman"/>
                <w:color w:val="000000"/>
                <w:sz w:val="24"/>
                <w:szCs w:val="24"/>
                <w:u w:val="none"/>
                <w:shd w:val="clear" w:color="auto" w:fill="d4ea6b"/>
              </w:rPr>
            </w:r>
            <w:r>
              <w:rPr>
                <w:rStyle w:val="711"/>
                <w:rFonts w:ascii="Times New Roman" w:hAnsi="Times New Roman" w:cs="Times New Roman"/>
                <w:color w:val="000000"/>
                <w:sz w:val="24"/>
                <w:szCs w:val="24"/>
                <w:u w:val="none"/>
                <w:shd w:val="clear" w:color="auto" w:fill="d4ea6b"/>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Грантовое</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финансирование</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проектов технологических компаний, связанных с разработкой (доработкой), созданием (расширением) производства и внедрением новой продукции под задачи российских корпораций</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«Центр поддержки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инжиниринга и инноваций»</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17.03.2022 № 392 «Об утверждении Правил предоставления субсидии из федерального бюджета автономной некоммерческой организации «Центр поддержки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инжиниринга и инноваций» в целях создания инструментов доработки продукции технологических компаний под требования крупных корпораций»</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24" w:tooltip="https://inno-sc.ru/grants/" w:history="1">
              <w:r>
                <w:rPr>
                  <w:rStyle w:val="711"/>
                  <w:rFonts w:ascii="Times New Roman" w:hAnsi="Times New Roman" w:cs="Times New Roman"/>
                  <w:sz w:val="12"/>
                  <w:szCs w:val="12"/>
                </w:rPr>
                <w:t xml:space="preserve">https://inno-sc.ru/grants/</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1.1.2. Техническое, технологическое перевооружение</w:t>
            </w:r>
            <w:r>
              <w:rPr>
                <w:rFonts w:ascii="Times New Roman" w:hAnsi="Times New Roman" w:cs="Times New Roman"/>
                <w:b/>
                <w:i/>
                <w:sz w:val="24"/>
                <w:szCs w:val="24"/>
                <w:u w:val="single"/>
              </w:rPr>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«Проекты развития» (льготное заёмное финансирование под 3% и 5% годовых на проекты, направленные на импортозамещение, про</w:t>
            </w:r>
            <w:r>
              <w:rPr>
                <w:rFonts w:ascii="Times New Roman" w:hAnsi="Times New Roman" w:cs="Times New Roman"/>
                <w:sz w:val="24"/>
                <w:szCs w:val="24"/>
              </w:rPr>
              <w:t xml:space="preserve">изводство конкурентоспособной продукции, продукции гражданского и двойного назначения, выпуск средств производства, оборудования и станков, помощь с внедрением программных и технологических решений (цифровизацию) для оптимизации производственных процессов)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СФ-И-51 от 13.10.2022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25" w:tooltip="https://frprf.ru/zaymy/proekty-razvitiya/" w:history="1">
              <w:r>
                <w:rPr>
                  <w:rStyle w:val="711"/>
                  <w:rFonts w:ascii="Times New Roman" w:hAnsi="Times New Roman" w:cs="Times New Roman"/>
                  <w:sz w:val="12"/>
                  <w:szCs w:val="12"/>
                </w:rPr>
                <w:t xml:space="preserve">https://frprf.ru/zaymy/proekty-razvitiya/</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26" w:tooltip="https://gisp.gov.ru/nmp/measure/6628507" w:history="1">
              <w:r>
                <w:rPr>
                  <w:rStyle w:val="711"/>
                  <w:rFonts w:ascii="Times New Roman" w:hAnsi="Times New Roman" w:cs="Times New Roman"/>
                  <w:sz w:val="12"/>
                  <w:szCs w:val="12"/>
                </w:rPr>
                <w:t xml:space="preserve">https://gisp.gov.ru/nmp/measure/6628507</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«Лизинговые проекты» (льготное заемное финансирование на оплату до 90% авансового платежа по лизинговой сделке для технологического перевооружения и модернизации основных производственных фондов российских предприятий)</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СФ-И-53 от 20.10.2022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27" w:tooltip="https://frprf.ru/zaymy/lizing/" w:history="1">
              <w:r>
                <w:rPr>
                  <w:rStyle w:val="711"/>
                  <w:rFonts w:ascii="Times New Roman" w:hAnsi="Times New Roman" w:cs="Times New Roman"/>
                  <w:sz w:val="12"/>
                  <w:szCs w:val="12"/>
                </w:rPr>
                <w:t xml:space="preserve">https://frprf.ru/zaymy/lizing/</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28" w:tooltip="https://gisp.gov.ru/nmp/measure/7709634" w:history="1">
              <w:r>
                <w:rPr>
                  <w:rStyle w:val="711"/>
                  <w:rFonts w:ascii="Times New Roman" w:hAnsi="Times New Roman" w:cs="Times New Roman"/>
                  <w:sz w:val="12"/>
                  <w:szCs w:val="12"/>
                </w:rPr>
                <w:t xml:space="preserve">https://gisp.gov.ru/nmp/measure/7709634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«Внедрение системы мониторинга движения товаров» (займы под 5% годовых на целевую закупку оборудования для маркировки широкого перечня товаров от лекарств и косметики до фотоаппаратов и велосипедов)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СФ-И-105 от 15.11.2022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29" w:tooltip="https://frprf.ru/zaymy/markirovka/" w:history="1">
              <w:r>
                <w:rPr>
                  <w:rStyle w:val="711"/>
                  <w:rFonts w:ascii="Times New Roman" w:hAnsi="Times New Roman" w:cs="Times New Roman"/>
                  <w:sz w:val="12"/>
                  <w:szCs w:val="12"/>
                </w:rPr>
                <w:t xml:space="preserve">https://frprf.ru/zaymy/markirovka/</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30" w:tooltip="https://gisp.gov.ru/nmp/measure/8869240" w:history="1">
              <w:r>
                <w:rPr>
                  <w:rStyle w:val="711"/>
                  <w:rFonts w:ascii="Times New Roman" w:hAnsi="Times New Roman" w:cs="Times New Roman"/>
                  <w:sz w:val="12"/>
                  <w:szCs w:val="12"/>
                </w:rPr>
                <w:t xml:space="preserve">https://gisp.gov.ru/nmp/measure/8869240</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«Проекты лесной промышленности» (льготные займы на финансирование проектов модернизации производственных мощностей для обработки древесины путем приобретения технологического оборудования)</w:t>
            </w:r>
            <w:r>
              <w:rPr>
                <w:rFonts w:ascii="Times New Roman" w:hAnsi="Times New Roman" w:cs="Times New Roman"/>
                <w:sz w:val="24"/>
                <w:szCs w:val="24"/>
              </w:rPr>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СФ-И-151 от 15.11.2022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r>
              <w:rPr>
                <w:rStyle w:val="711"/>
                <w:rFonts w:ascii="Times New Roman" w:hAnsi="Times New Roman" w:cs="Times New Roman"/>
                <w:sz w:val="12"/>
                <w:szCs w:val="12"/>
              </w:rPr>
              <w:t xml:space="preserve">https://frprf.ru/zaymy-regfondy/proekty-lesnoy-promyshlennosti-s-rfrp/</w:t>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31" w:tooltip="https://gisp.gov.ru/nmp/measure/12447033" w:history="1">
              <w:r>
                <w:rPr>
                  <w:rStyle w:val="711"/>
                  <w:rFonts w:ascii="Times New Roman" w:hAnsi="Times New Roman" w:cs="Times New Roman"/>
                  <w:sz w:val="12"/>
                  <w:szCs w:val="12"/>
                </w:rPr>
                <w:t xml:space="preserve">https://gisp.gov.ru/nmp/measure/12447033</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20.10.2022   № 1872 «Об </w:t>
            </w:r>
            <w:r>
              <w:rPr>
                <w:rFonts w:ascii="Times New Roman" w:hAnsi="Times New Roman" w:cs="Times New Roman"/>
                <w:sz w:val="24"/>
                <w:szCs w:val="24"/>
              </w:rPr>
              <w:t xml:space="preserve">утверждении Правил предоставления субсидий из федерального бюджета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32" w:tooltip="https://gisp.gov.ru/support-measures/list/12448107/" w:history="1">
              <w:r>
                <w:rPr>
                  <w:rStyle w:val="711"/>
                  <w:rFonts w:ascii="Times New Roman" w:hAnsi="Times New Roman" w:cs="Times New Roman"/>
                  <w:sz w:val="12"/>
                  <w:szCs w:val="12"/>
                </w:rPr>
                <w:t xml:space="preserve">https://gisp.gov.ru/support-measures/list/12448107/</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shd w:val="clear" w:color="auto" w:fill="d4ea6b"/>
              </w:rPr>
            </w:pPr>
            <w:r>
              <w:rPr>
                <w:shd w:val="clear" w:color="auto" w:fill="d4ea6b"/>
              </w:rPr>
            </w:r>
            <w:r>
              <w:rPr>
                <w:shd w:val="clear" w:color="auto" w:fill="d4ea6b"/>
              </w:rPr>
            </w:r>
            <w:r>
              <w:rPr>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стимулирование спроса и повышение </w:t>
            </w:r>
            <w:r>
              <w:rPr>
                <w:rFonts w:ascii="Times New Roman" w:hAnsi="Times New Roman" w:cs="Times New Roman"/>
                <w:sz w:val="24"/>
                <w:szCs w:val="24"/>
              </w:rPr>
              <w:t xml:space="preserve">конкурентоспособности </w:t>
            </w:r>
            <w:r>
              <w:rPr>
                <w:rFonts w:ascii="Times New Roman" w:hAnsi="Times New Roman" w:cs="Times New Roman"/>
                <w:sz w:val="24"/>
                <w:szCs w:val="24"/>
              </w:rPr>
              <w:t xml:space="preserve">российской промышленной продукции (Единая лизинговая субсидия)</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27.12.</w:t>
            </w:r>
            <w:r>
              <w:rPr>
                <w:rFonts w:ascii="Times New Roman" w:hAnsi="Times New Roman" w:cs="Times New Roman"/>
                <w:sz w:val="24"/>
                <w:szCs w:val="24"/>
              </w:rPr>
              <w:t xml:space="preserve">2019 № 1908 «Об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 некоторых актов Правительства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22-60914-00472-Р от 29.01.2024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33" w:tooltip="https://gisp.gov.ru/support-measures/list/10963797/" w:history="1">
              <w:r>
                <w:rPr>
                  <w:rStyle w:val="711"/>
                  <w:rFonts w:ascii="Times New Roman" w:hAnsi="Times New Roman" w:cs="Times New Roman"/>
                  <w:sz w:val="12"/>
                  <w:szCs w:val="12"/>
                </w:rPr>
                <w:t xml:space="preserve">https://gisp.gov.ru/support-measures/list/10963797/</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возмещение части затрат, понесенных потребителями промышленной продукции при закупке российского оборудования отрасли машиностроения для топливно-энергетического комплекса</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24-60983-01737-Р от 26.07.2024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34" w:tooltip="https://gisp.gov.ru/nmp/measure/12448626" w:history="1">
              <w:r>
                <w:rPr>
                  <w:rStyle w:val="711"/>
                  <w:rFonts w:ascii="Times New Roman" w:hAnsi="Times New Roman" w:cs="Times New Roman"/>
                  <w:sz w:val="12"/>
                  <w:szCs w:val="12"/>
                </w:rPr>
                <w:t xml:space="preserve">https://gisp.gov.ru/nmp/measure/12448626</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Субсидии на возмещение части затрат на уплату процентов по кредитам, лизинговых платежей по договорам лизинга, а также на уплату процентов за предоставление рассрочки</w:t>
            </w: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highlight w:val="none"/>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color w:val="040614"/>
                <w:sz w:val="24"/>
                <w:szCs w:val="24"/>
                <w:highlight w:val="none"/>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25-64727-02025</w:t>
            </w:r>
            <w:r>
              <w:rPr>
                <w:rFonts w:ascii="Times New Roman" w:hAnsi="Times New Roman" w:cs="Times New Roman"/>
                <w:sz w:val="24"/>
                <w:szCs w:val="24"/>
              </w:rPr>
              <w:t xml:space="preserve">-Р</w:t>
            </w:r>
            <w:r>
              <w:rPr>
                <w:rFonts w:ascii="Times New Roman" w:hAnsi="Times New Roman" w:cs="Times New Roman"/>
                <w:color w:val="040614"/>
                <w:sz w:val="24"/>
                <w:szCs w:val="24"/>
              </w:rPr>
              <w:t xml:space="preserve"> от 27.01.2025</w:t>
            </w:r>
            <w:r>
              <w:rPr>
                <w:rFonts w:ascii="Times New Roman" w:hAnsi="Times New Roman" w:cs="Times New Roman"/>
                <w:color w:val="040614"/>
                <w:sz w:val="24"/>
                <w:szCs w:val="24"/>
                <w:highlight w:val="none"/>
              </w:rPr>
            </w:r>
            <w:r>
              <w:rPr>
                <w:rFonts w:ascii="Times New Roman" w:hAnsi="Times New Roman" w:cs="Times New Roman"/>
                <w:color w:val="040614"/>
                <w:sz w:val="24"/>
                <w:szCs w:val="24"/>
                <w:highlight w:val="none"/>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color w:val="040614"/>
                <w:sz w:val="24"/>
                <w:szCs w:val="24"/>
                <w:highlight w:val="none"/>
              </w:rPr>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35" w:tooltip="https://gisp.gov.ru/nmp/measure/6476169" w:history="1">
              <w:r>
                <w:rPr>
                  <w:rStyle w:val="711"/>
                  <w:rFonts w:ascii="Times New Roman" w:hAnsi="Times New Roman" w:cs="Times New Roman"/>
                  <w:sz w:val="12"/>
                  <w:szCs w:val="12"/>
                </w:rPr>
                <w:t xml:space="preserve">https://gisp.gov.ru/nmp/measure/6476169</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Субсидия на возмещение части затрат на приобретение (строительство) новых гражданских судов взамен судов, сданных на утилизацию</w:t>
            </w: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highlight w:val="none"/>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22-68212-00356-Р от 29.01.2024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36" w:tooltip="https://gisp.gov.ru/nmp/measure/7783234" w:history="1">
              <w:r>
                <w:rPr>
                  <w:rStyle w:val="711"/>
                  <w:rFonts w:ascii="Times New Roman" w:hAnsi="Times New Roman" w:cs="Times New Roman"/>
                  <w:sz w:val="12"/>
                  <w:szCs w:val="12"/>
                </w:rPr>
                <w:t xml:space="preserve">https://gisp.gov.ru/nmp/measure/7783234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авиакомпаниям в целях обновления парка воздушных судов для осуществления внутренних региональных и местных воздушных перевозок</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22-64350-00528-Р от 05.12.2023</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37" w:tooltip="https://gisp.gov.ru/nmp/measure/12447436" w:history="1">
              <w:r>
                <w:rPr>
                  <w:rStyle w:val="711"/>
                  <w:rFonts w:ascii="Times New Roman" w:hAnsi="Times New Roman" w:cs="Times New Roman"/>
                  <w:sz w:val="12"/>
                  <w:szCs w:val="12"/>
                </w:rPr>
                <w:t xml:space="preserve">https://gisp.gov.ru/nmp/measure/12447436</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color w:val="auto"/>
              </w:rPr>
            </w:pPr>
            <w:r>
              <w:rPr>
                <w:rFonts w:ascii="Times New Roman" w:hAnsi="Times New Roman" w:cs="Times New Roman"/>
                <w:sz w:val="24"/>
                <w:szCs w:val="24"/>
              </w:rPr>
              <w:t xml:space="preserve">Субсидии на возмещение затрат участникам промышленных технопарков при реализации </w:t>
            </w:r>
            <w:r>
              <w:rPr>
                <w:rFonts w:ascii="Times New Roman" w:hAnsi="Times New Roman" w:cs="Times New Roman"/>
                <w:color w:val="auto"/>
                <w:sz w:val="24"/>
                <w:szCs w:val="24"/>
              </w:rPr>
              <w:t xml:space="preserve">совместных проектов</w:t>
            </w:r>
            <w:r>
              <w:rPr>
                <w:color w:val="auto"/>
              </w:rPr>
            </w:r>
            <w:r>
              <w:rPr>
                <w:color w:val="auto"/>
              </w:rPr>
            </w:r>
          </w:p>
          <w:p>
            <w:pPr>
              <w:rPr>
                <w:color w:val="auto"/>
              </w:rPr>
            </w:pPr>
            <w:r>
              <w:rPr>
                <w:color w:val="auto"/>
              </w:rPr>
            </w:r>
            <w:r>
              <w:rPr>
                <w:color w:val="auto"/>
              </w:rPr>
            </w:r>
            <w:r>
              <w:rPr>
                <w:color w:val="auto"/>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rPr>
            </w:r>
            <w:r>
              <w:rPr>
                <w:rFonts w:ascii="Times New Roman" w:hAnsi="Times New Roman" w:cs="Times New Roman"/>
                <w:sz w:val="24"/>
                <w:szCs w:val="24"/>
              </w:rPr>
              <w:t xml:space="preserve">Постановление Правительства РФ от 19.09.2022 № 1659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w:t>
            </w:r>
            <w:r>
              <w:rPr>
                <w:rFonts w:ascii="Times New Roman" w:hAnsi="Times New Roman" w:cs="Times New Roman"/>
                <w:sz w:val="24"/>
                <w:szCs w:val="24"/>
                <w:highlight w:val="white"/>
              </w:rPr>
              <w:t xml:space="preserve">проектов создания, развития и (или) модернизации</w:t>
            </w:r>
            <w:r>
              <w:rPr>
                <w:rFonts w:ascii="Times New Roman" w:hAnsi="Times New Roman" w:cs="Times New Roman"/>
                <w:sz w:val="24"/>
                <w:szCs w:val="24"/>
                <w:highlight w:val="white"/>
              </w:rPr>
              <w:t xml:space="preserve"> объектов инфраструктуры промышленных технопарков в сфере электронной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rPr>
            </w:pPr>
            <w:r>
              <w:rPr>
                <w:rStyle w:val="711"/>
                <w:rFonts w:ascii="Times New Roman" w:hAnsi="Times New Roman" w:cs="Times New Roman"/>
                <w:sz w:val="12"/>
                <w:szCs w:val="12"/>
              </w:rPr>
            </w:r>
            <w:r>
              <w:rPr>
                <w:rStyle w:val="711"/>
                <w:rFonts w:ascii="Times New Roman" w:hAnsi="Times New Roman" w:cs="Times New Roman"/>
                <w:sz w:val="12"/>
                <w:szCs w:val="12"/>
              </w:rPr>
              <w:t xml:space="preserve">https://gisp.gov.ru/nmp/measure/12448141</w:t>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t xml:space="preserve">Гранты на реализацию проектов по созданию и (или) развитию центров инженерных разработок на базе ВУЗов и научных организаций, реализующих проекты, связанные с разработкой комплектующих</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22-68464-00704-Р от 16.02.2024</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rPr>
            </w:pPr>
            <w:r>
              <w:rPr>
                <w:rStyle w:val="711"/>
                <w:rFonts w:ascii="Times New Roman" w:hAnsi="Times New Roman" w:cs="Times New Roman"/>
                <w:sz w:val="12"/>
                <w:szCs w:val="12"/>
              </w:rPr>
            </w:r>
            <w:r>
              <w:rPr>
                <w:rStyle w:val="711"/>
                <w:rFonts w:ascii="Times New Roman" w:hAnsi="Times New Roman" w:cs="Times New Roman"/>
                <w:sz w:val="12"/>
                <w:szCs w:val="12"/>
              </w:rPr>
              <w:t xml:space="preserve">https://gisp.gov.ru/nmp/measure/12447710</w:t>
            </w:r>
            <w:r>
              <w:rPr>
                <w:rFonts w:ascii="Times New Roman" w:hAnsi="Times New Roman" w:cs="Times New Roman"/>
                <w:sz w:val="12"/>
                <w:szCs w:val="12"/>
              </w:rPr>
            </w:r>
            <w:r>
              <w:rPr>
                <w:rFonts w:ascii="Times New Roman" w:hAnsi="Times New Roman" w:cs="Times New Roman"/>
                <w:sz w:val="12"/>
                <w:szCs w:val="12"/>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1.1.3. Комплектующие изделия, материалы</w:t>
            </w:r>
            <w:r>
              <w:rPr>
                <w:rFonts w:ascii="Times New Roman" w:hAnsi="Times New Roman" w:cs="Times New Roman"/>
                <w:b/>
                <w:i/>
                <w:sz w:val="24"/>
                <w:szCs w:val="24"/>
                <w:u w:val="single"/>
              </w:rPr>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«Комплектующие изделия» (займы под 3% и 5% годовых на проекты, направленные на модерниз</w:t>
            </w:r>
            <w:r>
              <w:rPr>
                <w:rFonts w:ascii="Times New Roman" w:hAnsi="Times New Roman" w:cs="Times New Roman"/>
                <w:sz w:val="24"/>
                <w:szCs w:val="24"/>
              </w:rPr>
              <w:t xml:space="preserve">ацию или организацию производства комплектующих изделий, повышающих уровень локализации конечной российской продукции, а также проектов, направленных на импортозамещение критически важной для устойчивого функционирования промышленных предприятий продукции)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СФ-И-87 от 13.10.2022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38" w:tooltip="https://frprf.ru/zaymy/komplektuyushchie/" w:history="1">
              <w:r>
                <w:rPr>
                  <w:rStyle w:val="711"/>
                  <w:rFonts w:ascii="Times New Roman" w:hAnsi="Times New Roman" w:cs="Times New Roman"/>
                  <w:sz w:val="12"/>
                  <w:szCs w:val="12"/>
                </w:rPr>
                <w:t xml:space="preserve">https://frprf.ru/zaymy/komplektuyushchie/</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39" w:tooltip="https://gisp.gov.ru/nmp/measure/8124256" w:history="1">
              <w:r>
                <w:rPr>
                  <w:rStyle w:val="711"/>
                  <w:rFonts w:ascii="Times New Roman" w:hAnsi="Times New Roman" w:cs="Times New Roman"/>
                  <w:sz w:val="12"/>
                  <w:szCs w:val="12"/>
                </w:rPr>
                <w:t xml:space="preserve">https://gisp.gov.ru/nmp/measure/8124256</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СФ-И-203 от 25.12.2023</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40" w:tooltip="https://frprf.ru/zaymy/avtokomponenty/" w:history="1">
              <w:r>
                <w:rPr>
                  <w:rStyle w:val="711"/>
                  <w:rFonts w:ascii="Times New Roman" w:hAnsi="Times New Roman" w:cs="Times New Roman"/>
                  <w:sz w:val="12"/>
                  <w:szCs w:val="12"/>
                </w:rPr>
                <w:t xml:space="preserve">https://frprf.ru/zaymy/avtokomponenty/</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41" w:tooltip="https://gisp.gov.ru/nmp/measure/12447705" w:history="1">
              <w:r>
                <w:rPr>
                  <w:rStyle w:val="711"/>
                  <w:rFonts w:ascii="Times New Roman" w:hAnsi="Times New Roman" w:cs="Times New Roman"/>
                  <w:sz w:val="12"/>
                  <w:szCs w:val="12"/>
                </w:rPr>
                <w:t xml:space="preserve">https://gisp.gov.ru/nmp/measure/12447705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компонентной и ресурсной базы» (льготное заёмное финансирование под 7% годовых на приобретение оснастки для промышленного производства)</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СФ-И-204 от 15.11.2022</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42" w:tooltip="https://frprf.ru/zaymy/formirovanie-komponentnoy-i-resursnoy-bazys/" w:history="1">
              <w:r>
                <w:rPr>
                  <w:rStyle w:val="711"/>
                  <w:rFonts w:ascii="Times New Roman" w:hAnsi="Times New Roman" w:cs="Times New Roman"/>
                  <w:sz w:val="12"/>
                  <w:szCs w:val="12"/>
                </w:rPr>
                <w:t xml:space="preserve">https://frprf.ru/zaymy/formirovanie-komponentnoy-i-resursnoy-bazys/</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43" w:tooltip="https://gisp.gov.ru/nmp/measure/12447485" w:history="1">
              <w:r>
                <w:rPr>
                  <w:rStyle w:val="711"/>
                  <w:rFonts w:ascii="Times New Roman" w:hAnsi="Times New Roman" w:cs="Times New Roman"/>
                  <w:sz w:val="12"/>
                  <w:szCs w:val="12"/>
                </w:rPr>
                <w:t xml:space="preserve">https://gisp.gov.ru/nmp/measure/12447485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Финансирование на цели приобретения импортной продукции (финанси</w:t>
            </w:r>
            <w:r>
              <w:rPr>
                <w:rFonts w:ascii="Times New Roman" w:hAnsi="Times New Roman" w:cs="Times New Roman"/>
                <w:sz w:val="24"/>
                <w:szCs w:val="24"/>
              </w:rPr>
              <w:t xml:space="preserve">рование предоставляется на закупку продукции по импортному контракту или «цепочке» связанных контрактов,  заемщик может профинансировать ранее понесенные затраты, возникшие не ранее 180 дней до начала финансирования, на цели оплаты по импортному контракту)</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44" w:tooltip="https://www.exportcenter.ru/services/kreditno-garantiynaya-podderzhka/korp_clientam/finansirovanie-na-tseli-priobreteniya-importnoy-produktsii/" w:history="1">
              <w:r>
                <w:rPr>
                  <w:rStyle w:val="711"/>
                  <w:rFonts w:ascii="Times New Roman" w:hAnsi="Times New Roman" w:cs="Times New Roman"/>
                  <w:sz w:val="12"/>
                  <w:szCs w:val="12"/>
                </w:rPr>
                <w:t xml:space="preserve">https://www.exportcenter.ru/services/kreditno-garantiynaya-podderzhka/korp_clientam/finansirovanie-na-tseli-priobreteniya-importnoy-produktsii/</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45" w:tooltip="https://gisp.gov.ru/nmp/measure/12448094" w:history="1">
              <w:r>
                <w:rPr>
                  <w:rStyle w:val="711"/>
                  <w:rFonts w:ascii="Times New Roman" w:hAnsi="Times New Roman" w:cs="Times New Roman"/>
                  <w:sz w:val="12"/>
                  <w:szCs w:val="12"/>
                </w:rPr>
                <w:t xml:space="preserve">https://gisp.gov.ru/nmp/measure/12448094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участникам промкластеров на возмещение части затрат при реализации совместных проектов по производству промышленной продукции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28.01.2016 № 41</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22-68641-00035-Р от 21.08.2024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Style w:val="711"/>
                <w:rFonts w:ascii="Times New Roman" w:hAnsi="Times New Roman" w:cs="Times New Roman"/>
                <w:sz w:val="12"/>
                <w:szCs w:val="12"/>
              </w:rPr>
              <w:t xml:space="preserve">https://gisp.gov.ru/support-measures/list/6616914/</w:t>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shd w:val="clear" w:color="auto" w:fill="d4ea6b"/>
              </w:rPr>
            </w:pPr>
            <w:r>
              <w:rPr>
                <w:shd w:val="clear" w:color="auto" w:fill="d4ea6b"/>
              </w:rPr>
            </w:r>
            <w:r>
              <w:rPr>
                <w:shd w:val="clear" w:color="auto" w:fill="d4ea6b"/>
              </w:rPr>
            </w:r>
            <w:r>
              <w:rPr>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10.02.2018 № 145 «Об утверждении Правил предоставления субсидий из федерального бюджета российским производителям </w:t>
            </w:r>
            <w:r>
              <w:rPr>
                <w:rFonts w:ascii="Times New Roman" w:hAnsi="Times New Roman" w:cs="Times New Roman"/>
                <w:sz w:val="24"/>
                <w:szCs w:val="24"/>
              </w:rPr>
              <w:t xml:space="preserve">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46" w:tooltip="https://gisp.gov.ru/support-measures/list/8870584/" w:history="1">
              <w:r>
                <w:rPr>
                  <w:rStyle w:val="711"/>
                  <w:rFonts w:ascii="Times New Roman" w:hAnsi="Times New Roman" w:cs="Times New Roman"/>
                  <w:sz w:val="12"/>
                  <w:szCs w:val="12"/>
                </w:rPr>
                <w:t xml:space="preserve">https://gisp.gov.ru/support-measures/list/8870584/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color w:val="000000"/>
                <w:sz w:val="24"/>
                <w:szCs w:val="24"/>
                <w:shd w:val="clear" w:color="auto" w:fill="d4ea6b"/>
              </w:rPr>
            </w:pPr>
            <w:r>
              <w:rPr>
                <w:rFonts w:ascii="Times New Roman" w:hAnsi="Times New Roman" w:cs="Times New Roman"/>
                <w:color w:val="000000"/>
                <w:sz w:val="24"/>
                <w:szCs w:val="24"/>
                <w:shd w:val="clear" w:color="auto" w:fill="d4ea6b"/>
              </w:rPr>
            </w:r>
            <w:r>
              <w:rPr>
                <w:rFonts w:ascii="Times New Roman" w:hAnsi="Times New Roman" w:cs="Times New Roman"/>
                <w:color w:val="000000"/>
                <w:sz w:val="24"/>
                <w:szCs w:val="24"/>
                <w:shd w:val="clear" w:color="auto" w:fill="d4ea6b"/>
              </w:rPr>
            </w:r>
            <w:r>
              <w:rPr>
                <w:rFonts w:ascii="Times New Roman" w:hAnsi="Times New Roman" w:cs="Times New Roman"/>
                <w:color w:val="000000"/>
                <w:sz w:val="24"/>
                <w:szCs w:val="24"/>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Субсидия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10.02.2018 № 146</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«Об утверждении Правил предоставления субсидий из федерального бюджета росси</w:t>
            </w:r>
            <w:r>
              <w:rPr>
                <w:rFonts w:ascii="Times New Roman" w:hAnsi="Times New Roman" w:cs="Times New Roman"/>
                <w:sz w:val="24"/>
                <w:szCs w:val="24"/>
              </w:rPr>
              <w:t xml:space="preserve">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47" w:tooltip="https://gisp.gov.ru/support-measures/list/8870530/" w:history="1">
              <w:r>
                <w:rPr>
                  <w:rStyle w:val="711"/>
                  <w:rFonts w:ascii="Times New Roman" w:hAnsi="Times New Roman" w:cs="Times New Roman"/>
                  <w:sz w:val="12"/>
                  <w:szCs w:val="12"/>
                </w:rPr>
                <w:t xml:space="preserve">https://gisp.gov.ru/support-measures/list/8870530/</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color w:val="000000"/>
                <w:sz w:val="24"/>
                <w:szCs w:val="24"/>
                <w:shd w:val="clear" w:color="auto" w:fill="d4ea6b"/>
              </w:rPr>
            </w:pPr>
            <w:r>
              <w:rPr>
                <w:rFonts w:ascii="Times New Roman" w:hAnsi="Times New Roman" w:cs="Times New Roman"/>
                <w:color w:val="000000"/>
                <w:sz w:val="24"/>
                <w:szCs w:val="24"/>
                <w:shd w:val="clear" w:color="auto" w:fill="d4ea6b"/>
              </w:rPr>
            </w:r>
            <w:r>
              <w:rPr>
                <w:rFonts w:ascii="Times New Roman" w:hAnsi="Times New Roman" w:cs="Times New Roman"/>
                <w:color w:val="000000"/>
                <w:sz w:val="24"/>
                <w:szCs w:val="24"/>
                <w:shd w:val="clear" w:color="auto" w:fill="d4ea6b"/>
              </w:rPr>
            </w:r>
            <w:r>
              <w:rPr>
                <w:rFonts w:ascii="Times New Roman" w:hAnsi="Times New Roman" w:cs="Times New Roman"/>
                <w:color w:val="000000"/>
                <w:sz w:val="24"/>
                <w:szCs w:val="24"/>
                <w:shd w:val="clear" w:color="auto" w:fill="d4ea6b"/>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color w:val="auto"/>
                <w:sz w:val="24"/>
                <w:szCs w:val="24"/>
                <w14:ligatures w14:val="none"/>
              </w:rPr>
            </w:pPr>
            <w:r>
              <w:rPr>
                <w:rFonts w:ascii="Times New Roman" w:hAnsi="Times New Roman" w:cs="Times New Roman"/>
                <w:color w:val="auto"/>
                <w:sz w:val="24"/>
                <w:szCs w:val="24"/>
              </w:rPr>
              <w:t xml:space="preserve">Субсидии производителям автокомпонентов на финансовое обеспечение погашения займов, привлеченных в ФРП</w:t>
            </w:r>
            <w:r>
              <w:rPr>
                <w:rFonts w:ascii="Times New Roman" w:hAnsi="Times New Roman" w:cs="Times New Roman"/>
                <w:color w:val="auto"/>
                <w:sz w:val="24"/>
                <w:szCs w:val="24"/>
                <w14:ligatures w14:val="none"/>
              </w:rPr>
            </w:r>
            <w:r>
              <w:rPr>
                <w:rFonts w:ascii="Times New Roman" w:hAnsi="Times New Roman" w:cs="Times New Roman"/>
                <w:color w:val="auto"/>
                <w:sz w:val="24"/>
                <w:szCs w:val="24"/>
                <w14:ligatures w14:val="none"/>
              </w:rPr>
            </w:r>
          </w:p>
          <w:p>
            <w:pPr>
              <w:pStyle w:val="678"/>
              <w:widowControl w:val="off"/>
              <w:spacing w:before="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r>
            <w:r>
              <w:rPr>
                <w:rFonts w:ascii="Times New Roman" w:hAnsi="Times New Roman" w:cs="Times New Roman"/>
                <w:color w:val="auto"/>
                <w:sz w:val="24"/>
                <w:szCs w:val="24"/>
              </w:rPr>
            </w:r>
            <w:r>
              <w:rPr>
                <w:rFonts w:ascii="Times New Roman" w:hAnsi="Times New Roman" w:cs="Times New Roman"/>
                <w:color w:val="auto"/>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color w:val="auto"/>
                <w:sz w:val="24"/>
                <w:szCs w:val="24"/>
                <w14:ligatures w14:val="none"/>
              </w:rPr>
            </w:pPr>
            <w:r>
              <w:rPr>
                <w:rFonts w:ascii="Times New Roman" w:hAnsi="Times New Roman" w:cs="Times New Roman"/>
                <w:color w:val="auto"/>
                <w:sz w:val="24"/>
                <w:szCs w:val="24"/>
              </w:rPr>
              <w:t xml:space="preserve">Минпромторг России</w:t>
            </w:r>
            <w:r>
              <w:rPr>
                <w:rFonts w:ascii="Times New Roman" w:hAnsi="Times New Roman" w:cs="Times New Roman"/>
                <w:color w:val="auto"/>
                <w:sz w:val="24"/>
                <w:szCs w:val="24"/>
                <w14:ligatures w14:val="none"/>
              </w:rPr>
            </w:r>
            <w:r>
              <w:rPr>
                <w:rFonts w:ascii="Times New Roman" w:hAnsi="Times New Roman" w:cs="Times New Roman"/>
                <w:color w:val="auto"/>
                <w:sz w:val="24"/>
                <w:szCs w:val="24"/>
                <w14:ligatures w14:val="none"/>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color w:val="auto"/>
                <w:sz w:val="24"/>
                <w:szCs w:val="24"/>
                <w14:ligatures w14:val="none"/>
              </w:rPr>
            </w:pPr>
            <w:r>
              <w:rPr>
                <w:rFonts w:ascii="Times New Roman" w:hAnsi="Times New Roman" w:cs="Times New Roman"/>
                <w:color w:val="auto"/>
                <w:sz w:val="24"/>
                <w:szCs w:val="24"/>
              </w:rPr>
              <w:t xml:space="preserve">Постановление Правительства РФ от 30.06.2022 № 1176 </w:t>
            </w:r>
            <w:r>
              <w:rPr>
                <w:rFonts w:ascii="Times New Roman" w:hAnsi="Times New Roman" w:cs="Times New Roman"/>
                <w:color w:val="auto"/>
                <w:sz w:val="24"/>
                <w:szCs w:val="24"/>
              </w:rPr>
              <w:t xml:space="preserve">«Об утверждении Правил предоставления из федерального бюджета субсидий российским производителям узлов и агрегатов для колесных транспортных средств и специализированной техники на финансовое обеспечение </w:t>
            </w:r>
            <w:r>
              <w:rPr>
                <w:rFonts w:ascii="Times New Roman" w:hAnsi="Times New Roman" w:cs="Times New Roman"/>
                <w:color w:val="auto"/>
                <w:sz w:val="24"/>
                <w:szCs w:val="24"/>
              </w:rPr>
              <w:t xml:space="preserve">погашения займов, привлеченных ими в федеральном государственном автономном учреждении  «Российский фонд технологического развития»</w:t>
            </w:r>
            <w:r>
              <w:rPr>
                <w:rFonts w:ascii="Times New Roman" w:hAnsi="Times New Roman" w:cs="Times New Roman"/>
                <w:color w:val="auto"/>
                <w:sz w:val="24"/>
                <w:szCs w:val="24"/>
                <w14:ligatures w14:val="none"/>
              </w:rPr>
            </w:r>
            <w:r>
              <w:rPr>
                <w:rFonts w:ascii="Times New Roman" w:hAnsi="Times New Roman" w:cs="Times New Roman"/>
                <w:color w:val="auto"/>
                <w:sz w:val="24"/>
                <w:szCs w:val="24"/>
                <w14:ligatures w14:val="non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14:ligatures w14:val="none"/>
              </w:rPr>
            </w:pPr>
            <w:r>
              <w:rPr>
                <w:rStyle w:val="711"/>
                <w:rFonts w:ascii="Times New Roman" w:hAnsi="Times New Roman" w:cs="Times New Roman"/>
                <w:sz w:val="12"/>
                <w:szCs w:val="12"/>
              </w:rPr>
            </w:r>
            <w:r>
              <w:rPr>
                <w:rStyle w:val="711"/>
                <w:rFonts w:ascii="Times New Roman" w:hAnsi="Times New Roman" w:cs="Times New Roman"/>
                <w:sz w:val="12"/>
                <w:szCs w:val="12"/>
              </w:rPr>
            </w:r>
            <w:hyperlink r:id="rId48" w:tooltip="https://gisp.gov.ru/nmp/measure/12447931" w:history="1">
              <w:r>
                <w:rPr>
                  <w:rStyle w:val="711"/>
                  <w:rFonts w:ascii="Times New Roman" w:hAnsi="Times New Roman" w:cs="Times New Roman"/>
                  <w:sz w:val="12"/>
                  <w:szCs w:val="12"/>
                </w:rPr>
                <w:t xml:space="preserve">https://gisp.gov.ru/nmp/measure/12447931</w:t>
              </w:r>
              <w:r>
                <w:rPr>
                  <w:rStyle w:val="711"/>
                  <w:rFonts w:ascii="Times New Roman" w:hAnsi="Times New Roman" w:cs="Times New Roman"/>
                  <w:sz w:val="12"/>
                  <w:szCs w:val="12"/>
                </w:rPr>
              </w:r>
              <w:r>
                <w:rPr>
                  <w:rStyle w:val="711"/>
                  <w:rFonts w:ascii="Times New Roman" w:hAnsi="Times New Roman" w:cs="Times New Roman"/>
                  <w:sz w:val="12"/>
                  <w:szCs w:val="12"/>
                </w:rPr>
              </w:r>
            </w:hyperlink>
            <w:r>
              <w:rPr>
                <w:rFonts w:ascii="Times New Roman" w:hAnsi="Times New Roman" w:cs="Times New Roman"/>
                <w:sz w:val="12"/>
                <w:szCs w:val="12"/>
                <w14:ligatures w14:val="none"/>
              </w:rPr>
            </w:r>
            <w:r>
              <w:rPr>
                <w:rFonts w:ascii="Times New Roman" w:hAnsi="Times New Roman" w:cs="Times New Roman"/>
                <w:sz w:val="12"/>
                <w:szCs w:val="12"/>
                <w14:ligatures w14:val="none"/>
              </w:rPr>
            </w:r>
          </w:p>
          <w:p>
            <w:pPr>
              <w:widowControl w:val="off"/>
              <w:spacing w:before="0" w:after="0" w:line="240" w:lineRule="auto"/>
              <w:jc w:val="center"/>
            </w:pPr>
            <w:r>
              <w:rPr>
                <w:highlight w:val="non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Параллельный импорт</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29.03.2022 № 506 «О товар</w:t>
            </w:r>
            <w:r>
              <w:rPr>
                <w:rFonts w:ascii="Times New Roman" w:hAnsi="Times New Roman" w:cs="Times New Roman"/>
                <w:sz w:val="24"/>
                <w:szCs w:val="24"/>
              </w:rPr>
              <w:t xml:space="preserve">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w:t>
            </w:r>
            <w:r>
              <w:rPr>
                <w:rFonts w:ascii="Times New Roman" w:hAnsi="Times New Roman" w:cs="Times New Roman"/>
                <w:sz w:val="24"/>
                <w:szCs w:val="24"/>
              </w:rPr>
              <w:t xml:space="preserve">которыми такие товары маркированы»</w:t>
            </w:r>
            <w:r>
              <w:rPr>
                <w:rFonts w:ascii="Times New Roman" w:hAnsi="Times New Roman" w:cs="Times New Roman"/>
                <w:sz w:val="24"/>
                <w:szCs w:val="24"/>
              </w:rPr>
            </w:r>
            <w:r>
              <w:rPr>
                <w:rFonts w:ascii="Times New Roman" w:hAnsi="Times New Roman" w:cs="Times New Roman"/>
                <w:sz w:val="24"/>
                <w:szCs w:val="24"/>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Приказ Минпромторга России от 21.07.2023 №  2701 «Об утверждении перечня товаров (групп товаров), в отношении которых не применяются положения статей 1252, 1254, пункта 5 статьи 1286.1, статей 1301, 1311, 1406.1, подпункт</w:t>
            </w:r>
            <w:r>
              <w:rPr>
                <w:rFonts w:ascii="Times New Roman" w:hAnsi="Times New Roman" w:cs="Times New Roman"/>
                <w:sz w:val="24"/>
                <w:szCs w:val="24"/>
              </w:rPr>
              <w:t xml:space="preserve">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49" w:tooltip="https://gisp.gov.ru/support-measures/list/12447930/" w:history="1">
              <w:r>
                <w:rPr>
                  <w:rStyle w:val="711"/>
                  <w:rFonts w:ascii="Times New Roman" w:hAnsi="Times New Roman" w:cs="Times New Roman"/>
                  <w:sz w:val="12"/>
                  <w:szCs w:val="12"/>
                </w:rPr>
                <w:t xml:space="preserve">https://gisp.gov.ru/support-measures/list/12447930/</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t xml:space="preserve">Субсидия на компенсацию части стоимости летного часа беспилотных авиационных систем</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24-66220-01385-Р от 07.03.2024</w:t>
            </w:r>
            <w:r>
              <w:rPr>
                <w:rFonts w:ascii="Times New Roman" w:hAnsi="Times New Roman" w:cs="Times New Roman"/>
                <w:sz w:val="24"/>
                <w:szCs w:val="24"/>
              </w:rPr>
            </w:r>
            <w:r>
              <w:rPr>
                <w:rFonts w:ascii="Times New Roman" w:hAnsi="Times New Roman" w:cs="Times New Roman"/>
                <w:sz w:val="24"/>
                <w:szCs w:val="24"/>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14:ligatures w14:val="none"/>
              </w:rPr>
            </w:pPr>
            <w:r>
              <w:rPr>
                <w:rStyle w:val="711"/>
                <w:rFonts w:ascii="Times New Roman" w:hAnsi="Times New Roman" w:cs="Times New Roman"/>
                <w:sz w:val="12"/>
                <w:szCs w:val="12"/>
              </w:rPr>
            </w:r>
            <w:r>
              <w:rPr>
                <w:rStyle w:val="711"/>
                <w:rFonts w:ascii="Times New Roman" w:hAnsi="Times New Roman" w:cs="Times New Roman"/>
                <w:sz w:val="12"/>
                <w:szCs w:val="12"/>
              </w:rPr>
            </w:r>
            <w:hyperlink r:id="rId50" w:tooltip="https://gisp.gov.ru/nmp/measure/12448507" w:history="1">
              <w:r>
                <w:rPr>
                  <w:rStyle w:val="711"/>
                  <w:rFonts w:ascii="Times New Roman" w:hAnsi="Times New Roman" w:cs="Times New Roman"/>
                  <w:sz w:val="12"/>
                  <w:szCs w:val="12"/>
                </w:rPr>
                <w:t xml:space="preserve">https://gisp.gov.ru/nmp/measure/12448507</w:t>
              </w:r>
              <w:r>
                <w:rPr>
                  <w:rStyle w:val="711"/>
                  <w:rFonts w:ascii="Times New Roman" w:hAnsi="Times New Roman" w:cs="Times New Roman"/>
                  <w:sz w:val="12"/>
                  <w:szCs w:val="12"/>
                </w:rPr>
              </w:r>
              <w:r>
                <w:rPr>
                  <w:rStyle w:val="711"/>
                  <w:rFonts w:ascii="Times New Roman" w:hAnsi="Times New Roman" w:cs="Times New Roman"/>
                  <w:sz w:val="12"/>
                  <w:szCs w:val="12"/>
                </w:rPr>
              </w:r>
            </w:hyperlink>
            <w:r>
              <w:rPr>
                <w:rFonts w:ascii="Times New Roman" w:hAnsi="Times New Roman" w:cs="Times New Roman"/>
                <w:sz w:val="12"/>
                <w:szCs w:val="12"/>
                <w14:ligatures w14:val="none"/>
              </w:rPr>
            </w:r>
            <w:r>
              <w:rPr>
                <w:rFonts w:ascii="Times New Roman" w:hAnsi="Times New Roman" w:cs="Times New Roman"/>
                <w:sz w:val="12"/>
                <w:szCs w:val="12"/>
                <w14:ligatures w14:val="none"/>
              </w:rPr>
            </w:r>
          </w:p>
          <w:p>
            <w:pPr>
              <w:widowControl w:val="off"/>
              <w:spacing w:before="0" w:after="0" w:line="240" w:lineRule="auto"/>
              <w:jc w:val="center"/>
            </w:pPr>
            <w:r>
              <w:rPr>
                <w:highlight w:val="non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Гранты на разработку конструкторской документации на комплектующие изделия, необходимые для отраслей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«Агентство по технологическому развитию»</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18.02.2022 № 208</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суб</w:t>
            </w:r>
            <w:r>
              <w:rPr>
                <w:rFonts w:ascii="Times New Roman" w:hAnsi="Times New Roman" w:cs="Times New Roman"/>
                <w:sz w:val="24"/>
                <w:szCs w:val="24"/>
              </w:rPr>
              <w:t xml:space="preserve">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51" w:tooltip="https://208.atr.gov.ru/" w:history="1">
              <w:r>
                <w:rPr>
                  <w:rStyle w:val="711"/>
                  <w:rFonts w:ascii="Times New Roman" w:hAnsi="Times New Roman" w:cs="Times New Roman"/>
                  <w:sz w:val="12"/>
                  <w:szCs w:val="12"/>
                </w:rPr>
                <w:t xml:space="preserve">https://208.atr.gov.ru/</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52" w:tooltip="https://gisp.gov.ru/nmp/measure/12447714" w:history="1">
              <w:r>
                <w:rPr>
                  <w:rStyle w:val="711"/>
                  <w:rFonts w:ascii="Times New Roman" w:hAnsi="Times New Roman" w:cs="Times New Roman"/>
                  <w:sz w:val="12"/>
                  <w:szCs w:val="12"/>
                </w:rPr>
                <w:t xml:space="preserve">https://gisp.gov.ru/nmp/measure/12447714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1.1.4. Поддержка инноваций (НИОКР, коммерциализация и т.д.)</w:t>
            </w:r>
            <w:r>
              <w:rPr>
                <w:rFonts w:ascii="Times New Roman" w:hAnsi="Times New Roman" w:cs="Times New Roman"/>
                <w:b/>
                <w:i/>
                <w:sz w:val="24"/>
                <w:szCs w:val="24"/>
                <w:u w:val="single"/>
              </w:rPr>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финансовое обеспечение части затрат на создание электронной компонентной базы и модулей (компенсация до 90% затрат на разработку электронной компонентной базы (ЭКБ) и модулей в рамках реализации комплексного проекта)</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24.07.2021 № 1252</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компонентной базы и модулей»</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от 22 января 2024 г. № 23-66844-00830-Р</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53" w:tooltip="https://gisp.gov.ru/support-measures/list/12447429/" w:history="1">
              <w:r>
                <w:rPr>
                  <w:rStyle w:val="711"/>
                  <w:rFonts w:ascii="Times New Roman" w:hAnsi="Times New Roman" w:cs="Times New Roman"/>
                  <w:sz w:val="12"/>
                  <w:szCs w:val="12"/>
                </w:rPr>
                <w:t xml:space="preserve">https://gisp.gov.ru/support-measures/list/12447429/</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 (с</w:t>
            </w:r>
            <w:r>
              <w:rPr>
                <w:rFonts w:ascii="Times New Roman" w:hAnsi="Times New Roman" w:cs="Times New Roman"/>
                <w:color w:val="040614"/>
                <w:sz w:val="24"/>
                <w:szCs w:val="24"/>
              </w:rPr>
              <w:t xml:space="preserve">убсидии в целях стимулирования про</w:t>
            </w:r>
            <w:r>
              <w:rPr>
                <w:rFonts w:ascii="Times New Roman" w:hAnsi="Times New Roman" w:cs="Times New Roman"/>
                <w:color w:val="040614"/>
                <w:sz w:val="24"/>
                <w:szCs w:val="24"/>
              </w:rPr>
              <w:t xml:space="preserve">изводства конкурентоспособной продукции сельскохозяйственного машиностроения, машиностроения для пищевой и перерабатывающей промышленности, создания в указанных отраслях инновационных технологий, машин и оборудования и увеличения объема инвестиций в НИОКР)</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13.12.2021 № 2281</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highlight w:val="white"/>
              </w:rPr>
            </w:pPr>
            <w:hyperlink r:id="rId54" w:tooltip="https://gisp.gov.ru/support-measures/list/12446974/" w:history="1">
              <w:r>
                <w:rPr>
                  <w:rStyle w:val="711"/>
                  <w:rFonts w:ascii="Times New Roman" w:hAnsi="Times New Roman" w:cs="Times New Roman"/>
                  <w:sz w:val="12"/>
                  <w:szCs w:val="12"/>
                  <w:highlight w:val="white"/>
                  <w:shd w:val="clear" w:color="auto" w:fill="d4ea6b"/>
                </w:rPr>
                <w:t xml:space="preserve">https://gisp.gov.ru/support-measures/list/12446974/</w:t>
              </w:r>
            </w:hyperlink>
            <w:r>
              <w:rPr>
                <w:highlight w:val="white"/>
              </w:rPr>
            </w:r>
            <w:r>
              <w:rPr>
                <w:highlight w:val="white"/>
              </w:rPr>
            </w:r>
          </w:p>
          <w:p>
            <w:pPr>
              <w:pStyle w:val="678"/>
              <w:widowControl w:val="off"/>
              <w:spacing w:before="0" w:after="0" w:line="240" w:lineRule="auto"/>
              <w:jc w:val="center"/>
              <w:rPr>
                <w:rFonts w:ascii="Times New Roman" w:hAnsi="Times New Roman" w:cs="Times New Roman"/>
                <w:sz w:val="12"/>
                <w:szCs w:val="12"/>
                <w:highlight w:val="white"/>
                <w:shd w:val="clear" w:color="auto" w:fill="d4ea6b"/>
              </w:rPr>
            </w:pPr>
            <w:r>
              <w:rPr>
                <w:rFonts w:ascii="Times New Roman" w:hAnsi="Times New Roman" w:cs="Times New Roman"/>
                <w:sz w:val="12"/>
                <w:szCs w:val="12"/>
                <w:highlight w:val="white"/>
                <w:shd w:val="clear" w:color="auto" w:fill="d4ea6b"/>
              </w:rPr>
            </w:r>
            <w:r>
              <w:rPr>
                <w:rFonts w:ascii="Times New Roman" w:hAnsi="Times New Roman" w:cs="Times New Roman"/>
                <w:sz w:val="12"/>
                <w:szCs w:val="12"/>
                <w:highlight w:val="white"/>
                <w:shd w:val="clear" w:color="auto" w:fill="d4ea6b"/>
              </w:rPr>
            </w:r>
            <w:r>
              <w:rPr>
                <w:rFonts w:ascii="Times New Roman" w:hAnsi="Times New Roman" w:cs="Times New Roman"/>
                <w:sz w:val="12"/>
                <w:szCs w:val="12"/>
                <w:highlight w:val="white"/>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компенсацию части затрат на проведение НИОКР по современным технологиям в рамках реализации инновационных проектов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12.12.2019 № 1649 «Об утверждении Правил предоставления субсидий из федерального бюджета российским организациям на финансовое обеспе</w:t>
            </w:r>
            <w:r>
              <w:rPr>
                <w:rFonts w:ascii="Times New Roman" w:hAnsi="Times New Roman" w:cs="Times New Roman"/>
                <w:sz w:val="24"/>
                <w:szCs w:val="24"/>
              </w:rPr>
              <w:t xml:space="preserve">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r>
              <w:rPr>
                <w:rStyle w:val="711"/>
                <w:rFonts w:ascii="Times New Roman" w:hAnsi="Times New Roman" w:cs="Times New Roman"/>
                <w:sz w:val="12"/>
                <w:szCs w:val="12"/>
              </w:rPr>
              <w:t xml:space="preserve">https://gisp.gov.ru/support-measures/list/10902608/</w:t>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финансовое обеспечение мероприятий по проведению НИОКР в области средств производства электроники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23-67771-00835-Р от 14.10.2024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55" w:tooltip="https://gisp.gov.ru/support-measures/list/12446641/" w:history="1">
              <w:r>
                <w:rPr>
                  <w:rStyle w:val="711"/>
                  <w:rFonts w:ascii="Times New Roman" w:hAnsi="Times New Roman" w:cs="Times New Roman"/>
                  <w:sz w:val="12"/>
                  <w:szCs w:val="12"/>
                </w:rPr>
                <w:t xml:space="preserve">https://gisp.gov.ru/support-measures/list/12446641/</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Style w:val="711"/>
              </w:rPr>
            </w:pPr>
            <w:r>
              <w:rPr>
                <w:rStyle w:val="711"/>
              </w:rPr>
            </w:r>
            <w:r>
              <w:rPr>
                <w:rStyle w:val="711"/>
              </w:rPr>
            </w:r>
            <w:r>
              <w:rPr>
                <w:rStyle w:val="711"/>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заказчикам средств производства и автоматизации на финансовое обеспечение затрат, связанных с проведением НИОКР по разработке специализированного оборудования российскими производителями средств производства и автоматизации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24-60464-01473-Р от 18.07.2024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56" w:tooltip="https://gisp.gov.ru/nmp/measure/12448565" w:history="1">
              <w:r>
                <w:rPr>
                  <w:rStyle w:val="711"/>
                  <w:rFonts w:ascii="Times New Roman" w:hAnsi="Times New Roman" w:cs="Times New Roman"/>
                  <w:sz w:val="12"/>
                  <w:szCs w:val="12"/>
                </w:rPr>
                <w:t xml:space="preserve">https://gisp.gov.ru/nmp/measure/12448565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Style w:val="711"/>
                <w:rFonts w:ascii="Times New Roman" w:hAnsi="Times New Roman" w:cs="Times New Roman"/>
                <w:color w:val="000000"/>
                <w:sz w:val="24"/>
                <w:szCs w:val="24"/>
                <w:u w:val="none"/>
                <w:shd w:val="clear" w:color="auto" w:fill="d4ea6b"/>
              </w:rPr>
            </w:pPr>
            <w:r>
              <w:rPr>
                <w:rFonts w:ascii="Times New Roman" w:hAnsi="Times New Roman" w:cs="Times New Roman"/>
                <w:color w:val="000000"/>
                <w:sz w:val="24"/>
                <w:szCs w:val="24"/>
                <w:u w:val="none"/>
                <w:shd w:val="clear" w:color="auto" w:fill="d4ea6b"/>
              </w:rPr>
            </w:r>
            <w:r>
              <w:rPr>
                <w:rStyle w:val="711"/>
                <w:rFonts w:ascii="Times New Roman" w:hAnsi="Times New Roman" w:cs="Times New Roman"/>
                <w:color w:val="000000"/>
                <w:sz w:val="24"/>
                <w:szCs w:val="24"/>
                <w:u w:val="none"/>
                <w:shd w:val="clear" w:color="auto" w:fill="d4ea6b"/>
              </w:rPr>
            </w:r>
            <w:r>
              <w:rPr>
                <w:rStyle w:val="711"/>
                <w:rFonts w:ascii="Times New Roman" w:hAnsi="Times New Roman" w:cs="Times New Roman"/>
                <w:color w:val="000000"/>
                <w:sz w:val="24"/>
                <w:szCs w:val="24"/>
                <w:u w:val="none"/>
                <w:shd w:val="clear" w:color="auto" w:fill="d4ea6b"/>
              </w:rPr>
            </w:r>
          </w:p>
          <w:p>
            <w:pPr>
              <w:pStyle w:val="678"/>
              <w:widowControl w:val="off"/>
              <w:spacing w:before="0" w:after="0" w:line="240" w:lineRule="auto"/>
              <w:jc w:val="center"/>
              <w:rPr>
                <w:rStyle w:val="711"/>
                <w:rFonts w:ascii="Times New Roman" w:hAnsi="Times New Roman" w:cs="Times New Roman"/>
                <w:color w:val="000000"/>
                <w:sz w:val="24"/>
                <w:szCs w:val="24"/>
                <w:u w:val="none"/>
                <w:shd w:val="clear" w:color="auto" w:fill="d4ea6b"/>
              </w:rPr>
            </w:pPr>
            <w:r>
              <w:rPr>
                <w:rFonts w:ascii="Times New Roman" w:hAnsi="Times New Roman" w:cs="Times New Roman"/>
                <w:color w:val="000000"/>
                <w:sz w:val="24"/>
                <w:szCs w:val="24"/>
                <w:u w:val="none"/>
                <w:shd w:val="clear" w:color="auto" w:fill="d4ea6b"/>
              </w:rPr>
            </w:r>
            <w:r>
              <w:rPr>
                <w:rStyle w:val="711"/>
                <w:rFonts w:ascii="Times New Roman" w:hAnsi="Times New Roman" w:cs="Times New Roman"/>
                <w:color w:val="000000"/>
                <w:sz w:val="24"/>
                <w:szCs w:val="24"/>
                <w:u w:val="none"/>
                <w:shd w:val="clear" w:color="auto" w:fill="d4ea6b"/>
              </w:rPr>
            </w:r>
            <w:r>
              <w:rPr>
                <w:rStyle w:val="711"/>
                <w:rFonts w:ascii="Times New Roman" w:hAnsi="Times New Roman" w:cs="Times New Roman"/>
                <w:color w:val="000000"/>
                <w:sz w:val="24"/>
                <w:szCs w:val="24"/>
                <w:u w:val="none"/>
                <w:shd w:val="clear" w:color="auto" w:fill="d4ea6b"/>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t xml:space="preserve">Финансовое обеспечения затрат на проведение сквозных НИОКР по современным технологиям в области беспилотных авиационных систем (БАС)</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24-66272-01624-Р от 07.06.2024</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p>
            <w:pPr>
              <w:widowControl w:val="off"/>
              <w:spacing w:before="0" w:after="0" w:line="240" w:lineRule="auto"/>
              <w:jc w:val="center"/>
              <w:rPr>
                <w:rFonts w:ascii="Times New Roman" w:hAnsi="Times New Roman" w:cs="Times New Roman"/>
                <w:sz w:val="24"/>
                <w:szCs w:val="24"/>
                <w:highlight w:val="none"/>
                <w14:ligatures w14:val="none"/>
              </w:rPr>
            </w:pPr>
            <w:r>
              <w:rPr>
                <w:rFonts w:ascii="Times New Roman" w:hAnsi="Times New Roman" w:cs="Times New Roman"/>
                <w:sz w:val="24"/>
                <w:szCs w:val="24"/>
              </w:rPr>
              <w:t xml:space="preserve"> </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14:ligatures w14:val="none"/>
              </w:rPr>
            </w:pPr>
            <w:r>
              <w:rPr>
                <w:rStyle w:val="711"/>
                <w:rFonts w:ascii="Times New Roman" w:hAnsi="Times New Roman" w:cs="Times New Roman"/>
                <w:sz w:val="12"/>
                <w:szCs w:val="12"/>
              </w:rPr>
            </w:r>
            <w:r>
              <w:rPr>
                <w:rStyle w:val="711"/>
                <w:rFonts w:ascii="Times New Roman" w:hAnsi="Times New Roman" w:cs="Times New Roman"/>
                <w:sz w:val="12"/>
                <w:szCs w:val="12"/>
              </w:rPr>
            </w:r>
            <w:hyperlink r:id="rId57" w:tooltip="https://gisp.gov.ru/nmp/measure/12448536" w:history="1">
              <w:r>
                <w:rPr>
                  <w:rStyle w:val="711"/>
                  <w:rFonts w:ascii="Times New Roman" w:hAnsi="Times New Roman" w:cs="Times New Roman"/>
                  <w:sz w:val="12"/>
                  <w:szCs w:val="12"/>
                </w:rPr>
                <w:t xml:space="preserve">https://gisp.gov.ru/nmp/measure/12448536</w:t>
              </w:r>
              <w:r>
                <w:rPr>
                  <w:rStyle w:val="711"/>
                  <w:rFonts w:ascii="Times New Roman" w:hAnsi="Times New Roman" w:cs="Times New Roman"/>
                  <w:sz w:val="12"/>
                  <w:szCs w:val="12"/>
                </w:rPr>
              </w:r>
              <w:r>
                <w:rPr>
                  <w:rStyle w:val="711"/>
                  <w:rFonts w:ascii="Times New Roman" w:hAnsi="Times New Roman" w:cs="Times New Roman"/>
                  <w:sz w:val="12"/>
                  <w:szCs w:val="12"/>
                </w:rPr>
              </w:r>
            </w:hyperlink>
            <w:r>
              <w:rPr>
                <w:rFonts w:ascii="Times New Roman" w:hAnsi="Times New Roman" w:cs="Times New Roman"/>
                <w:sz w:val="12"/>
                <w:szCs w:val="12"/>
                <w14:ligatures w14:val="none"/>
              </w:rPr>
            </w:r>
            <w:r>
              <w:rPr>
                <w:rFonts w:ascii="Times New Roman" w:hAnsi="Times New Roman" w:cs="Times New Roman"/>
                <w:sz w:val="12"/>
                <w:szCs w:val="12"/>
                <w14:ligatures w14:val="none"/>
              </w:rPr>
            </w:r>
          </w:p>
          <w:p>
            <w:pPr>
              <w:widowControl w:val="off"/>
              <w:spacing w:before="0" w:after="0" w:line="240" w:lineRule="auto"/>
              <w:jc w:val="center"/>
            </w:pPr>
            <w:r>
              <w:rPr>
                <w:rStyle w:val="711"/>
                <w:rFonts w:ascii="Times New Roman" w:hAnsi="Times New Roman" w:cs="Times New Roman"/>
                <w:sz w:val="12"/>
                <w:szCs w:val="12"/>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t xml:space="preserve">Гранты на реализацию проектов по созданию и (или) развитию центров инженерных разработок на базе ВУЗов и научных организаций, реализующих проекты, связанные с разработкой комплектующих</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22-68464-00704-Р от 16.02.2024</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rPr>
            </w:pPr>
            <w:r>
              <w:rPr>
                <w:rStyle w:val="711"/>
                <w:rFonts w:ascii="Times New Roman" w:hAnsi="Times New Roman" w:cs="Times New Roman"/>
                <w:sz w:val="12"/>
                <w:szCs w:val="12"/>
              </w:rPr>
            </w:r>
            <w:r>
              <w:rPr>
                <w:rStyle w:val="711"/>
                <w:rFonts w:ascii="Times New Roman" w:hAnsi="Times New Roman" w:cs="Times New Roman"/>
                <w:sz w:val="12"/>
                <w:szCs w:val="12"/>
              </w:rPr>
              <w:t xml:space="preserve">https://gisp.gov.ru/nmp/measure/12447710</w:t>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«Старт» (поддержка стартапов на ранних стадиях развития)</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содействия развитию малых форм предприятий в научно-технической сфере</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Положение о программе</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r>
              <w:fldChar w:fldCharType="begin"/>
            </w:r>
            <w:r>
              <w:rPr>
                <w:rStyle w:val="711"/>
                <w:rFonts w:ascii="Times New Roman" w:hAnsi="Times New Roman" w:cs="Times New Roman"/>
                <w:sz w:val="12"/>
                <w:szCs w:val="12"/>
              </w:rPr>
              <w:instrText xml:space="preserve"> HYPERLINK "https://fasie.ru/programs/programma-start/" \l "uslovia"</w:instrText>
            </w:r>
            <w:r>
              <w:rPr>
                <w:rStyle w:val="711"/>
                <w:rFonts w:ascii="Times New Roman" w:hAnsi="Times New Roman" w:cs="Times New Roman"/>
                <w:sz w:val="12"/>
                <w:szCs w:val="12"/>
              </w:rPr>
              <w:fldChar w:fldCharType="separate"/>
            </w:r>
            <w:r>
              <w:rPr>
                <w:rStyle w:val="711"/>
                <w:rFonts w:ascii="Times New Roman" w:hAnsi="Times New Roman" w:cs="Times New Roman"/>
                <w:sz w:val="12"/>
                <w:szCs w:val="12"/>
              </w:rPr>
              <w:t xml:space="preserve">https://fasie.ru/programs/programma-start/#uslovia</w:t>
            </w:r>
            <w:r>
              <w:rPr>
                <w:rStyle w:val="711"/>
                <w:rFonts w:ascii="Times New Roman" w:hAnsi="Times New Roman" w:cs="Times New Roman"/>
                <w:sz w:val="12"/>
                <w:szCs w:val="12"/>
              </w:rPr>
              <w:fldChar w:fldCharType="end"/>
            </w:r>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58" w:tooltip="https://gisp.gov.ru/nmp/measure/8160120" w:history="1">
              <w:r>
                <w:rPr>
                  <w:rStyle w:val="711"/>
                  <w:rFonts w:ascii="Times New Roman" w:hAnsi="Times New Roman" w:cs="Times New Roman"/>
                  <w:sz w:val="12"/>
                  <w:szCs w:val="12"/>
                </w:rPr>
                <w:t xml:space="preserve">https://gisp.gov.ru/nmp/measure/8160120</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«Развитие» (поддержка компаний, имеющих опыт разработки и продаж наукоемкой продукции)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содействия развитию малых форм предприятий в научно-технической сфере</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Положение о программе</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59" w:tooltip="https://fasie.ru/programs/programma-razvitie/" w:history="1">
              <w:r>
                <w:rPr>
                  <w:rStyle w:val="711"/>
                  <w:rFonts w:ascii="Times New Roman" w:hAnsi="Times New Roman" w:cs="Times New Roman"/>
                  <w:sz w:val="12"/>
                  <w:szCs w:val="12"/>
                </w:rPr>
                <w:t xml:space="preserve">https://fasie.ru/programs/programma-razvitie/</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60" w:tooltip="https://gisp.gov.ru/nmp/measure/8168822" w:history="1">
              <w:r>
                <w:rPr>
                  <w:rStyle w:val="711"/>
                  <w:rFonts w:ascii="Times New Roman" w:hAnsi="Times New Roman" w:cs="Times New Roman"/>
                  <w:sz w:val="12"/>
                  <w:szCs w:val="12"/>
                </w:rPr>
                <w:t xml:space="preserve">https://gisp.gov.ru/nmp/measure/8168822</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«Коммерциализация» (поддержка малых инновационных предприятий, завершивших НИОКР и планирующих создание или расширение производства инновационной продукции)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содействия развитию малых форм предприятий в научно-технической сфере</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Положение о программе</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61" w:tooltip="https://fasie.ru/programs/programma-kommertsializatsiya/" w:history="1">
              <w:r>
                <w:rPr>
                  <w:rStyle w:val="711"/>
                  <w:rFonts w:ascii="Times New Roman" w:hAnsi="Times New Roman" w:cs="Times New Roman"/>
                  <w:sz w:val="12"/>
                  <w:szCs w:val="12"/>
                </w:rPr>
                <w:t xml:space="preserve">https://fasie.ru/programs/programma-kommertsializatsiya/</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62" w:tooltip="https://gisp.gov.ru/nmp/measure/8168828" w:history="1">
              <w:r>
                <w:rPr>
                  <w:rStyle w:val="711"/>
                  <w:rFonts w:ascii="Times New Roman" w:hAnsi="Times New Roman" w:cs="Times New Roman"/>
                  <w:sz w:val="12"/>
                  <w:szCs w:val="12"/>
                </w:rPr>
                <w:t xml:space="preserve">https://gisp.gov.ru/nmp/measure/8168828</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Микрогранты Сколково</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Фонд «Сколково»</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63" w:tooltip="https://sk.ru/grant-financial-support/microgrants/" w:history="1">
              <w:r>
                <w:rPr>
                  <w:rStyle w:val="711"/>
                  <w:rFonts w:ascii="Times New Roman" w:hAnsi="Times New Roman" w:cs="Times New Roman"/>
                  <w:sz w:val="12"/>
                  <w:szCs w:val="12"/>
                </w:rPr>
                <w:t xml:space="preserve">https://sk.ru/grant-financial-support/microgrants/</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1.1.5. Создание новых производств и наращивание новых мощностей</w:t>
            </w:r>
            <w:r>
              <w:rPr>
                <w:rFonts w:ascii="Times New Roman" w:hAnsi="Times New Roman" w:cs="Times New Roman"/>
                <w:b/>
                <w:i/>
                <w:sz w:val="24"/>
                <w:szCs w:val="24"/>
                <w:u w:val="single"/>
              </w:rPr>
            </w:r>
            <w:r>
              <w:rPr>
                <w:rFonts w:ascii="Times New Roman" w:hAnsi="Times New Roman" w:cs="Times New Roman"/>
                <w:b/>
                <w:i/>
                <w:sz w:val="24"/>
                <w:szCs w:val="24"/>
                <w:u w:val="single"/>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rPr>
            </w:r>
            <w:r>
              <w:rPr>
                <w:rFonts w:ascii="Times New Roman" w:hAnsi="Times New Roman" w:cs="Times New Roman"/>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СФ-И-203 от 25.12.2023</w:t>
            </w:r>
            <w:r>
              <w:rPr>
                <w:rFonts w:ascii="Times New Roman" w:hAnsi="Times New Roman" w:cs="Times New Roman"/>
                <w:sz w:val="24"/>
                <w:szCs w:val="24"/>
              </w:rPr>
            </w:r>
            <w:r>
              <w:rPr>
                <w:rFonts w:ascii="Times New Roman" w:hAnsi="Times New Roman" w:cs="Times New Roman"/>
                <w:sz w:val="24"/>
                <w:szCs w:val="24"/>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64" w:tooltip="https://frprf.ru/zaymy/avtokomponenty/" w:history="1">
              <w:r>
                <w:rPr>
                  <w:rStyle w:val="711"/>
                  <w:rFonts w:ascii="Times New Roman" w:hAnsi="Times New Roman" w:cs="Times New Roman"/>
                  <w:sz w:val="12"/>
                  <w:szCs w:val="12"/>
                </w:rPr>
                <w:t xml:space="preserve">https://frprf.ru/zaymy/avtokomponenty/</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65" w:tooltip="https://gisp.gov.ru/nmp/measure/12447705" w:history="1">
              <w:r>
                <w:rPr>
                  <w:rStyle w:val="711"/>
                  <w:rFonts w:ascii="Times New Roman" w:hAnsi="Times New Roman" w:cs="Times New Roman"/>
                  <w:sz w:val="12"/>
                  <w:szCs w:val="12"/>
                </w:rPr>
                <w:t xml:space="preserve">https://gisp.gov.ru/nmp/measure/12447705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Промышленная ипотека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06.09.2022 № 1570</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субсидий из федерального бюджета российским кредитным организациям на возмещение недопо</w:t>
            </w:r>
            <w:r>
              <w:rPr>
                <w:rFonts w:ascii="Times New Roman" w:hAnsi="Times New Roman" w:cs="Times New Roman"/>
                <w:sz w:val="24"/>
                <w:szCs w:val="24"/>
              </w:rPr>
              <w:t xml:space="preserve">лученных ими доходов по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23-60109-00982-Р от 26.09.2024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66" w:tooltip="https://gisp.gov.ru/support-measures/list/12448038/" w:history="1">
              <w:r>
                <w:rPr>
                  <w:rStyle w:val="711"/>
                  <w:rFonts w:ascii="Times New Roman" w:hAnsi="Times New Roman" w:cs="Times New Roman"/>
                  <w:sz w:val="12"/>
                  <w:szCs w:val="12"/>
                </w:rPr>
                <w:t xml:space="preserve">https://gisp.gov.ru/support-measures/list/12448038/</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Возмещение предоставленной скидки производителям камвольных и/или поливискозных тканей, предоставленной производителям одежды (школьной формы) обучающихся в начальных классах</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24-68871-01592-Р от 16.05.2024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67" w:tooltip="https://gisp.gov.ru/nmp/measure/7754168" w:history="1">
              <w:r>
                <w:rPr>
                  <w:rStyle w:val="711"/>
                  <w:rFonts w:ascii="Times New Roman" w:hAnsi="Times New Roman" w:cs="Times New Roman"/>
                  <w:sz w:val="12"/>
                  <w:szCs w:val="12"/>
                </w:rPr>
                <w:t xml:space="preserve">https://gisp.gov.ru/nmp/measure/7754168</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highlight w:val="green"/>
              </w:rPr>
            </w:pPr>
            <w:r>
              <w:rPr>
                <w:rFonts w:ascii="Times New Roman" w:hAnsi="Times New Roman" w:cs="Times New Roman"/>
                <w:sz w:val="12"/>
                <w:szCs w:val="12"/>
                <w:highlight w:val="green"/>
              </w:rPr>
            </w:r>
            <w:r>
              <w:rPr>
                <w:rFonts w:ascii="Times New Roman" w:hAnsi="Times New Roman" w:cs="Times New Roman"/>
                <w:sz w:val="12"/>
                <w:szCs w:val="12"/>
                <w:highlight w:val="green"/>
              </w:rPr>
            </w:r>
            <w:r>
              <w:rPr>
                <w:rFonts w:ascii="Times New Roman" w:hAnsi="Times New Roman" w:cs="Times New Roman"/>
                <w:sz w:val="12"/>
                <w:szCs w:val="12"/>
                <w:highlight w:val="green"/>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sz w:val="24"/>
                <w:szCs w:val="24"/>
                <w:highlight w:val="yellow"/>
                <w14:ligatures w14:val="none"/>
              </w:rPr>
            </w:pPr>
            <w:r>
              <w:rPr>
                <w:rFonts w:ascii="Times New Roman" w:hAnsi="Times New Roman" w:cs="Times New Roman"/>
                <w:sz w:val="24"/>
                <w:szCs w:val="24"/>
              </w:rPr>
              <w:t xml:space="preserve">Субсидии на уплату процентов по кредитам, привлеченным в рамках реализации комплексных инвестиционных проектов </w:t>
            </w:r>
            <w:r>
              <w:rPr>
                <w:rFonts w:ascii="Times New Roman" w:hAnsi="Times New Roman" w:cs="Times New Roman"/>
                <w:sz w:val="24"/>
                <w:szCs w:val="24"/>
                <w:highlight w:val="yellow"/>
                <w14:ligatures w14:val="none"/>
              </w:rPr>
            </w:r>
            <w:r>
              <w:rPr>
                <w:rFonts w:ascii="Times New Roman" w:hAnsi="Times New Roman" w:cs="Times New Roman"/>
                <w:sz w:val="24"/>
                <w:szCs w:val="24"/>
                <w:highlight w:val="yellow"/>
                <w14:ligatures w14:val="none"/>
              </w:rPr>
            </w:r>
          </w:p>
          <w:p>
            <w:pPr>
              <w:widowControl w:val="off"/>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r>
            <w:r>
              <w:rPr>
                <w:rFonts w:ascii="Times New Roman" w:hAnsi="Times New Roman" w:cs="Times New Roman"/>
                <w:sz w:val="24"/>
                <w:szCs w:val="24"/>
                <w14:ligatures w14:val="none"/>
              </w:rPr>
            </w:r>
            <w:r>
              <w:rPr>
                <w:rFonts w:ascii="Times New Roman" w:hAnsi="Times New Roman" w:cs="Times New Roman"/>
                <w:sz w:val="24"/>
                <w:szCs w:val="24"/>
                <w14:ligatures w14:val="none"/>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r>
            <w:r>
              <w:rPr>
                <w:rFonts w:ascii="Times New Roman" w:hAnsi="Times New Roman" w:cs="Times New Roman"/>
                <w:sz w:val="24"/>
                <w:szCs w:val="24"/>
              </w:rPr>
              <w:t xml:space="preserve">Постановление Правительства РФ от 03.01.2014 № 3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и (или) выплату купонного дохода по облигациям, привл</w:t>
            </w:r>
            <w:r>
              <w:rPr>
                <w:rFonts w:ascii="Times New Roman" w:hAnsi="Times New Roman" w:cs="Times New Roman"/>
                <w:sz w:val="24"/>
                <w:szCs w:val="24"/>
              </w:rPr>
              <w:t xml:space="preserve">еченным в рамках реализации комплексных инвестиционных проектов по приоритетным направлениям гражданской промышленности»</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14:ligatures w14:val="none"/>
              </w:rPr>
            </w:pPr>
            <w:r>
              <w:rPr>
                <w:rStyle w:val="711"/>
                <w:rFonts w:ascii="Times New Roman" w:hAnsi="Times New Roman" w:cs="Times New Roman"/>
                <w:sz w:val="12"/>
                <w:szCs w:val="12"/>
              </w:rPr>
            </w:r>
            <w:r>
              <w:rPr>
                <w:rStyle w:val="711"/>
                <w:rFonts w:ascii="Times New Roman" w:hAnsi="Times New Roman" w:cs="Times New Roman"/>
                <w:sz w:val="12"/>
                <w:szCs w:val="12"/>
              </w:rPr>
              <w:t xml:space="preserve">https://gisp.gov.ru/nmp/measure/6476161</w:t>
            </w:r>
            <w:r>
              <w:rPr>
                <w:rFonts w:ascii="Times New Roman" w:hAnsi="Times New Roman" w:cs="Times New Roman"/>
                <w:sz w:val="12"/>
                <w:szCs w:val="12"/>
                <w14:ligatures w14:val="none"/>
              </w:rPr>
            </w:r>
            <w:r>
              <w:rPr>
                <w:rFonts w:ascii="Times New Roman" w:hAnsi="Times New Roman" w:cs="Times New Roman"/>
                <w:sz w:val="12"/>
                <w:szCs w:val="12"/>
                <w14:ligatures w14:val="none"/>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color w:val="auto"/>
                <w:sz w:val="24"/>
                <w:szCs w:val="24"/>
                <w14:ligatures w14:val="none"/>
              </w:rPr>
            </w:pPr>
            <w:r>
              <w:rPr>
                <w:rFonts w:ascii="Times New Roman" w:hAnsi="Times New Roman" w:cs="Times New Roman"/>
                <w:color w:val="auto"/>
                <w:sz w:val="24"/>
                <w:szCs w:val="24"/>
              </w:rPr>
              <w:t xml:space="preserve">Субсидии производителям автокомпонентов на финансовое обеспечение погашения займов, привлеченных в ФРП</w:t>
            </w:r>
            <w:r>
              <w:rPr>
                <w:rFonts w:ascii="Times New Roman" w:hAnsi="Times New Roman" w:cs="Times New Roman"/>
                <w:color w:val="auto"/>
                <w:sz w:val="24"/>
                <w:szCs w:val="24"/>
                <w14:ligatures w14:val="none"/>
              </w:rPr>
            </w:r>
            <w:r>
              <w:rPr>
                <w:rFonts w:ascii="Times New Roman" w:hAnsi="Times New Roman" w:cs="Times New Roman"/>
                <w:color w:val="auto"/>
                <w:sz w:val="24"/>
                <w:szCs w:val="24"/>
                <w14:ligatures w14:val="none"/>
              </w:rPr>
            </w:r>
          </w:p>
          <w:p>
            <w:pPr>
              <w:pStyle w:val="678"/>
              <w:widowControl w:val="off"/>
              <w:spacing w:before="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r>
            <w:r>
              <w:rPr>
                <w:rFonts w:ascii="Times New Roman" w:hAnsi="Times New Roman" w:cs="Times New Roman"/>
                <w:color w:val="auto"/>
                <w:sz w:val="24"/>
                <w:szCs w:val="24"/>
              </w:rPr>
            </w:r>
            <w:r>
              <w:rPr>
                <w:rFonts w:ascii="Times New Roman" w:hAnsi="Times New Roman" w:cs="Times New Roman"/>
                <w:color w:val="auto"/>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color w:val="auto"/>
                <w:sz w:val="24"/>
                <w:szCs w:val="24"/>
                <w14:ligatures w14:val="none"/>
              </w:rPr>
            </w:pPr>
            <w:r>
              <w:rPr>
                <w:rFonts w:ascii="Times New Roman" w:hAnsi="Times New Roman" w:cs="Times New Roman"/>
                <w:color w:val="auto"/>
                <w:sz w:val="24"/>
                <w:szCs w:val="24"/>
              </w:rPr>
              <w:t xml:space="preserve">Минпромторг России</w:t>
            </w:r>
            <w:r>
              <w:rPr>
                <w:rFonts w:ascii="Times New Roman" w:hAnsi="Times New Roman" w:cs="Times New Roman"/>
                <w:color w:val="auto"/>
                <w:sz w:val="24"/>
                <w:szCs w:val="24"/>
                <w14:ligatures w14:val="none"/>
              </w:rPr>
            </w:r>
            <w:r>
              <w:rPr>
                <w:rFonts w:ascii="Times New Roman" w:hAnsi="Times New Roman" w:cs="Times New Roman"/>
                <w:color w:val="auto"/>
                <w:sz w:val="24"/>
                <w:szCs w:val="24"/>
                <w14:ligatures w14:val="none"/>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color w:val="auto"/>
                <w:sz w:val="24"/>
                <w:szCs w:val="24"/>
                <w14:ligatures w14:val="none"/>
              </w:rPr>
            </w:pPr>
            <w:r>
              <w:rPr>
                <w:rFonts w:ascii="Times New Roman" w:hAnsi="Times New Roman" w:cs="Times New Roman"/>
                <w:color w:val="auto"/>
                <w:sz w:val="24"/>
                <w:szCs w:val="24"/>
              </w:rPr>
              <w:t xml:space="preserve">Постановление Правительства РФ от 30.06.2022 № 1176 </w:t>
            </w:r>
            <w:r>
              <w:rPr>
                <w:rFonts w:ascii="Times New Roman" w:hAnsi="Times New Roman" w:cs="Times New Roman"/>
                <w:color w:val="auto"/>
                <w:sz w:val="24"/>
                <w:szCs w:val="24"/>
              </w:rPr>
              <w:t xml:space="preserve">«Об утверждении Правил предоставления из федерального бюджета субсидий российским производителям узлов и агрегатов для колесных транспортных средств и специализированной техники на финансовое обеспечение </w:t>
            </w:r>
            <w:r>
              <w:rPr>
                <w:rFonts w:ascii="Times New Roman" w:hAnsi="Times New Roman" w:cs="Times New Roman"/>
                <w:color w:val="auto"/>
                <w:sz w:val="24"/>
                <w:szCs w:val="24"/>
              </w:rPr>
              <w:t xml:space="preserve">погашения займов, привлеченных ими в федеральном государственном автономном учреждении  «Российский фонд технологического развития»</w:t>
            </w:r>
            <w:r>
              <w:rPr>
                <w:rFonts w:ascii="Times New Roman" w:hAnsi="Times New Roman" w:cs="Times New Roman"/>
                <w:color w:val="auto"/>
                <w:sz w:val="24"/>
                <w:szCs w:val="24"/>
                <w14:ligatures w14:val="none"/>
              </w:rPr>
            </w:r>
            <w:r>
              <w:rPr>
                <w:rFonts w:ascii="Times New Roman" w:hAnsi="Times New Roman" w:cs="Times New Roman"/>
                <w:color w:val="auto"/>
                <w:sz w:val="24"/>
                <w:szCs w:val="24"/>
                <w14:ligatures w14:val="non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14:ligatures w14:val="none"/>
              </w:rPr>
            </w:pPr>
            <w:r>
              <w:rPr>
                <w:rStyle w:val="711"/>
                <w:rFonts w:ascii="Times New Roman" w:hAnsi="Times New Roman" w:cs="Times New Roman"/>
                <w:sz w:val="12"/>
                <w:szCs w:val="12"/>
              </w:rPr>
            </w:r>
            <w:r>
              <w:rPr>
                <w:rStyle w:val="711"/>
                <w:rFonts w:ascii="Times New Roman" w:hAnsi="Times New Roman" w:cs="Times New Roman"/>
                <w:sz w:val="12"/>
                <w:szCs w:val="12"/>
              </w:rPr>
            </w:r>
            <w:hyperlink r:id="rId68" w:tooltip="https://gisp.gov.ru/nmp/measure/12447931" w:history="1">
              <w:r>
                <w:rPr>
                  <w:rStyle w:val="711"/>
                  <w:rFonts w:ascii="Times New Roman" w:hAnsi="Times New Roman" w:cs="Times New Roman"/>
                  <w:sz w:val="12"/>
                  <w:szCs w:val="12"/>
                </w:rPr>
                <w:t xml:space="preserve">https://gisp.gov.ru/nmp/measure/12447931</w:t>
              </w:r>
              <w:r>
                <w:rPr>
                  <w:rStyle w:val="711"/>
                  <w:rFonts w:ascii="Times New Roman" w:hAnsi="Times New Roman" w:cs="Times New Roman"/>
                  <w:sz w:val="12"/>
                  <w:szCs w:val="12"/>
                </w:rPr>
              </w:r>
              <w:r>
                <w:rPr>
                  <w:rStyle w:val="711"/>
                  <w:rFonts w:ascii="Times New Roman" w:hAnsi="Times New Roman" w:cs="Times New Roman"/>
                  <w:sz w:val="12"/>
                  <w:szCs w:val="12"/>
                </w:rPr>
              </w:r>
            </w:hyperlink>
            <w:r>
              <w:rPr>
                <w:rFonts w:ascii="Times New Roman" w:hAnsi="Times New Roman" w:cs="Times New Roman"/>
                <w:sz w:val="12"/>
                <w:szCs w:val="12"/>
                <w14:ligatures w14:val="none"/>
              </w:rPr>
            </w:r>
            <w:r>
              <w:rPr>
                <w:rFonts w:ascii="Times New Roman" w:hAnsi="Times New Roman" w:cs="Times New Roman"/>
                <w:sz w:val="12"/>
                <w:szCs w:val="12"/>
                <w14:ligatures w14:val="none"/>
              </w:rPr>
            </w:r>
          </w:p>
          <w:p>
            <w:pPr>
              <w:widowControl w:val="off"/>
              <w:spacing w:before="0" w:after="0" w:line="240" w:lineRule="auto"/>
              <w:jc w:val="center"/>
            </w:pPr>
            <w:r>
              <w:rPr>
                <w:highlight w:val="non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Грантовое</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финансирование</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проектов технологических компаний, связанных с разработкой (доработкой), созданием (расширением) производства и внедрением новой продукции под задачи российских корпораций</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«Центр поддержки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инжиниринга и инноваций»</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17.03.2022 № 392 «Об утверждении Правил предоставления субсидии из федерального бюджета автономной некоммерческой организации «Центр поддержки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инжиниринга и инноваций» в целях создания инструментов доработки продукции технологических компаний под требования крупных корпораций»</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69" w:tooltip="https://inno-sc.ru/grants/" w:history="1">
              <w:r>
                <w:rPr>
                  <w:rStyle w:val="711"/>
                  <w:rFonts w:ascii="Times New Roman" w:hAnsi="Times New Roman" w:cs="Times New Roman"/>
                  <w:sz w:val="12"/>
                  <w:szCs w:val="12"/>
                </w:rPr>
                <w:t xml:space="preserve">https://inno-sc.ru/grants/</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Компенсация затрат на создание и модернизацию объектов АПК (софинансирование расходных обязательств субъектов</w:t>
            </w:r>
            <w:r>
              <w:rPr>
                <w:rFonts w:ascii="Times New Roman" w:hAnsi="Times New Roman" w:cs="Times New Roman"/>
                <w:sz w:val="24"/>
                <w:szCs w:val="24"/>
              </w:rPr>
              <w:t xml:space="preserve"> РФ по возмещению части прямых понесенных затрат на создание и (или) модернизацию объектов АПК,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Правительства РФ от 22.05.2024 № 630 «О внесении изменений в некоторые акты Правительства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70" w:tooltip="https://mcx.gov.ru/activity/state-support/measures/building-compensation/" w:history="1">
              <w:r>
                <w:rPr>
                  <w:rStyle w:val="711"/>
                  <w:rFonts w:ascii="Times New Roman" w:hAnsi="Times New Roman" w:cs="Times New Roman"/>
                  <w:sz w:val="12"/>
                  <w:szCs w:val="12"/>
                </w:rPr>
                <w:t xml:space="preserve">https://mcx.gov.ru/activity/state-support/measures/building-compensation/</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Льготное кредитование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w:t>
            </w:r>
            <w:r>
              <w:rPr>
                <w:rFonts w:ascii="Times New Roman" w:hAnsi="Times New Roman" w:cs="Times New Roman"/>
                <w:sz w:val="24"/>
                <w:szCs w:val="24"/>
              </w:rPr>
              <w:t xml:space="preserve">елям (за исключением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сельского хозяйства РФ о порядке предоставления субсидии № 25-68850-</w:t>
            </w:r>
            <w:r>
              <w:rPr>
                <w:rFonts w:ascii="Times New Roman" w:hAnsi="Times New Roman" w:cs="Times New Roman"/>
                <w:sz w:val="24"/>
                <w:szCs w:val="24"/>
              </w:rPr>
              <w:t xml:space="preserve">01698-Р  от 11.12.2024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71" w:tooltip="https://mcx.gov.ru/ministry/departments/departament-ekonomiki-i-gosydarstvennoy-podderzhki-apk/industry-information/info-lgotnoe-kreditovanie-po-spk/" w:history="1">
              <w:r>
                <w:rPr>
                  <w:rStyle w:val="711"/>
                  <w:rFonts w:ascii="Times New Roman" w:hAnsi="Times New Roman" w:cs="Times New Roman"/>
                  <w:sz w:val="12"/>
                  <w:szCs w:val="12"/>
                </w:rPr>
                <w:t xml:space="preserve">https://mcx.gov.ru/ministry/departments/departament-ekonomiki-i-gosydarstvennoy-podderzhki-apk/industry-information/info-lgotnoe-kreditovanie-po-spk/</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1.1.6. Реклама</w:t>
            </w:r>
            <w:r>
              <w:rPr>
                <w:rFonts w:ascii="Times New Roman" w:hAnsi="Times New Roman" w:cs="Times New Roman"/>
                <w:b/>
                <w:i/>
                <w:sz w:val="24"/>
                <w:szCs w:val="24"/>
                <w:u w:val="single"/>
              </w:rPr>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Продвижение товаров российских производителей на телевидении (субсидия на софинансирование расходов производителей потребительских непродовольственных товаров (отрасли парфюмерно-косметической промышленности и бытовой химии) на размещение рекламы)</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«Национальные приоритеты»</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24-64625-01693-Р от 11.07.2024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72" w:tooltip="https://gisp.gov.ru/nmp/measure/12447991" w:history="1">
              <w:r>
                <w:rPr>
                  <w:rStyle w:val="711"/>
                  <w:rFonts w:ascii="Times New Roman" w:hAnsi="Times New Roman" w:cs="Times New Roman"/>
                  <w:sz w:val="12"/>
                  <w:szCs w:val="12"/>
                </w:rPr>
                <w:t xml:space="preserve">https://gisp.gov.ru/nmp/measure/12447991</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pPr>
          </w:p>
          <w:p>
            <w:pPr>
              <w:pStyle w:val="678"/>
              <w:widowControl w:val="off"/>
              <w:spacing w:before="0" w:after="0" w:line="240" w:lineRule="auto"/>
              <w:jc w:val="center"/>
            </w:pP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49"/>
              <w:widowControl w:val="off"/>
              <w:numPr>
                <w:numId w:val="1"/>
                <w:ilvl w:val="1"/>
              </w:numPr>
              <w:spacing w:before="0"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Выстраивание эффективной логистики.</w:t>
            </w:r>
            <w:r>
              <w:rPr>
                <w:rFonts w:ascii="Times New Roman" w:hAnsi="Times New Roman" w:cs="Times New Roman"/>
                <w:b/>
                <w:i/>
                <w:sz w:val="24"/>
                <w:szCs w:val="24"/>
              </w:rPr>
            </w:r>
            <w:r>
              <w:rPr>
                <w:rFonts w:ascii="Times New Roman" w:hAnsi="Times New Roman" w:cs="Times New Roman"/>
                <w:b/>
                <w:i/>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Транспортировка промышленных товаров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24-60340-01338-Р от 18.12.2024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73" w:tooltip="https://www.exportcenter.ru/services/spetsialnye-programmy-po-podderzhke-eksporta/gospodderzhka-transportirovka-promyshlennykh-tovarov-pp-rf-/" w:history="1">
              <w:r>
                <w:rPr>
                  <w:rStyle w:val="711"/>
                  <w:rFonts w:ascii="Times New Roman" w:hAnsi="Times New Roman" w:cs="Times New Roman"/>
                  <w:sz w:val="12"/>
                  <w:szCs w:val="12"/>
                </w:rPr>
                <w:t xml:space="preserve">https://www.exportcenter.ru/services/spetsialnye-programmy-po-podderzhke-eksporta/gospodderzhka-transportirovka-promyshlennykh-tovarov-pp-rf-/</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74" w:tooltip="https://gisp.gov.ru/nmp/measure/9516248" w:history="1">
              <w:r>
                <w:rPr>
                  <w:rStyle w:val="711"/>
                  <w:rFonts w:ascii="Times New Roman" w:hAnsi="Times New Roman" w:cs="Times New Roman"/>
                  <w:sz w:val="12"/>
                  <w:szCs w:val="12"/>
                </w:rPr>
                <w:t xml:space="preserve">https://gisp.gov.ru/nmp/measure/9516248</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Транспортировка товаров АПК</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15.09.2017 № 1104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w:t>
            </w:r>
            <w:r>
              <w:rPr>
                <w:rFonts w:ascii="Times New Roman" w:hAnsi="Times New Roman" w:cs="Times New Roman"/>
                <w:sz w:val="24"/>
                <w:szCs w:val="24"/>
              </w:rPr>
            </w:r>
            <w:r>
              <w:rPr>
                <w:rFonts w:ascii="Times New Roman" w:hAnsi="Times New Roman" w:cs="Times New Roman"/>
                <w:sz w:val="24"/>
                <w:szCs w:val="24"/>
              </w:rPr>
            </w:r>
          </w:p>
          <w:p>
            <w:pPr>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r>
            <w:r>
              <w:rPr>
                <w:rFonts w:ascii="Times New Roman" w:hAnsi="Times New Roman" w:cs="Times New Roman"/>
                <w:sz w:val="24"/>
                <w:szCs w:val="24"/>
              </w:rPr>
              <w:t xml:space="preserve">Решение </w:t>
            </w:r>
            <w:r>
              <w:rPr>
                <w:rFonts w:ascii="Times New Roman" w:hAnsi="Times New Roman" w:cs="Times New Roman"/>
                <w:sz w:val="24"/>
                <w:szCs w:val="24"/>
              </w:rPr>
              <w:t xml:space="preserve">Министерства сельского хозяйства РФ </w:t>
            </w:r>
            <w:r>
              <w:rPr>
                <w:rFonts w:ascii="Times New Roman" w:hAnsi="Times New Roman" w:cs="Times New Roman"/>
                <w:sz w:val="24"/>
                <w:szCs w:val="24"/>
              </w:rPr>
              <w:t xml:space="preserve">о порядке предоставления субсидии                   № 25-61831-02052-Р   от  15.01.2025</w:t>
            </w:r>
            <w:r>
              <w:rPr>
                <w:rFonts w:ascii="Times New Roman" w:hAnsi="Times New Roman" w:cs="Times New Roman"/>
                <w:sz w:val="24"/>
                <w:szCs w:val="24"/>
              </w:rPr>
            </w:r>
            <w:r>
              <w:rPr>
                <w:rFonts w:ascii="Times New Roman" w:hAnsi="Times New Roman" w:cs="Times New Roman"/>
                <w:sz w:val="24"/>
                <w:szCs w:val="24"/>
                <w:highlight w:val="none"/>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75" w:tooltip="https://www.exportcenter.ru/services/spetsialnye-programmy-po-podderzhke-eksporta/gospodderzhka-transportirovka-tovarov-apk/" w:history="1">
              <w:r>
                <w:rPr>
                  <w:rStyle w:val="711"/>
                  <w:rFonts w:ascii="Times New Roman" w:hAnsi="Times New Roman" w:cs="Times New Roman"/>
                  <w:sz w:val="12"/>
                  <w:szCs w:val="12"/>
                </w:rPr>
                <w:t xml:space="preserve">https://www.exportcenter.ru/services/spetsialnye-programmy-po-podderzhke-eksporta/gospodderzhka-transportirovka-tovarov-apk/</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76" w:tooltip="https://gisp.gov.ru/nmp/measure/9512857" w:history="1">
              <w:r>
                <w:rPr>
                  <w:rStyle w:val="711"/>
                  <w:rFonts w:ascii="Times New Roman" w:hAnsi="Times New Roman" w:cs="Times New Roman"/>
                  <w:sz w:val="12"/>
                  <w:szCs w:val="12"/>
                </w:rPr>
                <w:t xml:space="preserve">https://gisp.gov.ru/nmp/measure/9512857</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Льготный тариф на перевозку железнодорожным транспортом сельскохозяйственной продукции, а также продукции для организации сельскохозяйственного производства</w:t>
            </w:r>
            <w:r>
              <w:rPr>
                <w:rFonts w:ascii="Times New Roman" w:hAnsi="Times New Roman" w:cs="Times New Roman"/>
                <w:sz w:val="24"/>
                <w:szCs w:val="24"/>
              </w:rPr>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r>
              <w:rPr>
                <w:rFonts w:ascii="Times New Roman" w:hAnsi="Times New Roman" w:cs="Times New Roman"/>
                <w:sz w:val="24"/>
                <w:szCs w:val="24"/>
              </w:rPr>
              <w:t xml:space="preserve">Федерального агентства железнодорожного транспорта </w:t>
            </w:r>
            <w:r>
              <w:rPr>
                <w:rFonts w:ascii="Times New Roman" w:hAnsi="Times New Roman" w:cs="Times New Roman"/>
                <w:sz w:val="24"/>
                <w:szCs w:val="24"/>
              </w:rPr>
              <w:t xml:space="preserve">о         порядке</w:t>
            </w:r>
            <w:r>
              <w:rPr>
                <w:rFonts w:ascii="Times New Roman" w:hAnsi="Times New Roman" w:cs="Times New Roman"/>
                <w:sz w:val="24"/>
                <w:szCs w:val="24"/>
              </w:rPr>
              <w:t xml:space="preserve"> предоставления субсидии № 22-60817-00641-Р от 25.12.2024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77" w:tooltip="https://mcx.gov.ru/ministry/departments/departament-informatsionnoy-politiki-i-spetsialnykh-proektov/industry-information/info-lgotnyy-tarif-na-perevozku-zerna/" w:history="1">
              <w:r>
                <w:rPr>
                  <w:rStyle w:val="711"/>
                  <w:rFonts w:ascii="Times New Roman" w:hAnsi="Times New Roman" w:cs="Times New Roman"/>
                  <w:sz w:val="12"/>
                  <w:szCs w:val="12"/>
                </w:rPr>
                <w:t xml:space="preserve">https://mcx.gov.ru/ministry/departments/departament-informatsionnoy-politiki-i-spetsialnykh-proektov/industry-information/info-lgotnyy-tarif-na-perevozku-zerna/</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Style w:val="711"/>
                <w:rFonts w:ascii="Times New Roman" w:hAnsi="Times New Roman" w:cs="Times New Roman"/>
                <w:sz w:val="24"/>
                <w:szCs w:val="24"/>
                <w:shd w:val="clear" w:color="auto" w:fill="81d41a"/>
              </w:rPr>
            </w:pPr>
            <w:r>
              <w:rPr>
                <w:rFonts w:ascii="Times New Roman" w:hAnsi="Times New Roman" w:cs="Times New Roman"/>
                <w:sz w:val="24"/>
                <w:szCs w:val="24"/>
                <w:shd w:val="clear" w:color="auto" w:fill="81d41a"/>
              </w:rPr>
            </w:r>
            <w:r>
              <w:rPr>
                <w:rStyle w:val="711"/>
                <w:rFonts w:ascii="Times New Roman" w:hAnsi="Times New Roman" w:cs="Times New Roman"/>
                <w:sz w:val="24"/>
                <w:szCs w:val="24"/>
                <w:shd w:val="clear" w:color="auto" w:fill="81d41a"/>
              </w:rPr>
            </w:r>
            <w:r>
              <w:rPr>
                <w:rStyle w:val="711"/>
                <w:rFonts w:ascii="Times New Roman" w:hAnsi="Times New Roman" w:cs="Times New Roman"/>
                <w:sz w:val="24"/>
                <w:szCs w:val="24"/>
                <w:shd w:val="clear" w:color="auto" w:fill="81d41a"/>
              </w:rPr>
            </w:r>
          </w:p>
          <w:p>
            <w:pPr>
              <w:pStyle w:val="678"/>
              <w:widowControl w:val="off"/>
              <w:spacing w:before="0" w:after="0" w:line="240" w:lineRule="auto"/>
              <w:jc w:val="center"/>
              <w:rPr>
                <w:rStyle w:val="711"/>
                <w:rFonts w:ascii="Times New Roman" w:hAnsi="Times New Roman" w:cs="Times New Roman"/>
                <w:color w:val="000000"/>
                <w:sz w:val="24"/>
                <w:szCs w:val="24"/>
                <w:u w:val="none"/>
                <w:shd w:val="clear" w:color="auto" w:fill="81d41a"/>
              </w:rPr>
            </w:pPr>
            <w:r>
              <w:rPr>
                <w:rFonts w:ascii="Times New Roman" w:hAnsi="Times New Roman" w:cs="Times New Roman"/>
                <w:color w:val="000000"/>
                <w:sz w:val="24"/>
                <w:szCs w:val="24"/>
                <w:u w:val="none"/>
                <w:shd w:val="clear" w:color="auto" w:fill="81d41a"/>
              </w:rPr>
            </w:r>
            <w:r>
              <w:rPr>
                <w:rStyle w:val="711"/>
                <w:rFonts w:ascii="Times New Roman" w:hAnsi="Times New Roman" w:cs="Times New Roman"/>
                <w:color w:val="000000"/>
                <w:sz w:val="24"/>
                <w:szCs w:val="24"/>
                <w:u w:val="none"/>
                <w:shd w:val="clear" w:color="auto" w:fill="81d41a"/>
              </w:rPr>
            </w:r>
            <w:r>
              <w:rPr>
                <w:rStyle w:val="711"/>
                <w:rFonts w:ascii="Times New Roman" w:hAnsi="Times New Roman" w:cs="Times New Roman"/>
                <w:color w:val="000000"/>
                <w:sz w:val="24"/>
                <w:szCs w:val="24"/>
                <w:u w:val="none"/>
                <w:shd w:val="clear" w:color="auto" w:fill="81d41a"/>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49"/>
              <w:widowControl w:val="off"/>
              <w:numPr>
                <w:numId w:val="1"/>
                <w:ilvl w:val="1"/>
              </w:numPr>
              <w:spacing w:before="0"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Развитие существующих и новых рынков сбыта.</w:t>
            </w:r>
            <w:r>
              <w:rPr>
                <w:rFonts w:ascii="Times New Roman" w:hAnsi="Times New Roman" w:cs="Times New Roman"/>
                <w:b/>
                <w:i/>
                <w:sz w:val="24"/>
                <w:szCs w:val="24"/>
              </w:rPr>
            </w:r>
            <w:r>
              <w:rPr>
                <w:rFonts w:ascii="Times New Roman" w:hAnsi="Times New Roman" w:cs="Times New Roman"/>
                <w:b/>
                <w:i/>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Послепродажное обслуживание (программа поддержки экспортеров при послепродажном обслуживании промышленной продукции в иностранных государствах)</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24-68702-01337-Р от 25.06.2024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78" w:tooltip="https://www.exportcenter.ru/services/spetsialnye-programmy-po-podderzhke-eksporta/industry/gospodderzhka-posleprodazhnoe-obsluzhivanie/" w:history="1">
              <w:r>
                <w:rPr>
                  <w:rStyle w:val="711"/>
                  <w:rFonts w:ascii="Times New Roman" w:hAnsi="Times New Roman" w:cs="Times New Roman"/>
                  <w:sz w:val="12"/>
                  <w:szCs w:val="12"/>
                </w:rPr>
                <w:t xml:space="preserve">https://www.exportcenter.ru/services/spetsialnye-programmy-po-podderzhke-eksporta/industry/gospodderzhka-posleprodazhnoe-obsluzhivanie/</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79" w:tooltip="https://gisp.gov.ru/nmp/measure/12448381" w:history="1">
              <w:r>
                <w:rPr>
                  <w:rStyle w:val="711"/>
                  <w:rFonts w:ascii="Times New Roman" w:hAnsi="Times New Roman" w:cs="Times New Roman"/>
                  <w:sz w:val="12"/>
                  <w:szCs w:val="12"/>
                </w:rPr>
                <w:t xml:space="preserve">https://gisp.gov.ru/nmp/measure/12448381</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Демонстрационно-дегустационные павильоны АПК</w:t>
            </w:r>
            <w:r>
              <w:rPr>
                <w:rFonts w:ascii="Times New Roman" w:hAnsi="Times New Roman" w:cs="Times New Roman"/>
                <w:sz w:val="24"/>
                <w:szCs w:val="24"/>
              </w:rPr>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w:t>
            </w:r>
            <w:r>
              <w:rPr>
                <w:rFonts w:ascii="Times New Roman" w:hAnsi="Times New Roman" w:cs="Times New Roman"/>
                <w:sz w:val="24"/>
                <w:szCs w:val="24"/>
              </w:rPr>
              <w:t xml:space="preserve">Ф от 26.02.2021 № 255 «Об утверждении Правил предоставления государственной поддержки организациям в целях продвижения продукции агропромышленного комплекса на внешние рынки и о признании утратившими силу некоторых актов Правительства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80" w:tooltip="https://www.exportcenter.ru/services/spetsialnye-programmy-po-podderzhke-eksporta/agro-industrial-complex/gospodderzhka_demonstratsionno_degustatsionnye_pavilony_apk/" w:history="1">
              <w:r>
                <w:rPr>
                  <w:rStyle w:val="711"/>
                  <w:rFonts w:ascii="Times New Roman" w:hAnsi="Times New Roman" w:cs="Times New Roman"/>
                  <w:sz w:val="12"/>
                  <w:szCs w:val="12"/>
                </w:rPr>
                <w:t xml:space="preserve">https://www.exportcenter.ru/services/spetsialnye-programmy-po-podderzhke-eksporta/agro-industrial-complex/gospodderzhka_demonstratsionno_degustatsionnye_pavilony_apk/</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81" w:tooltip="https://gisp.gov.ru/nmp/measure/9514994" w:history="1">
              <w:r>
                <w:rPr>
                  <w:rStyle w:val="711"/>
                  <w:rFonts w:ascii="Times New Roman" w:hAnsi="Times New Roman" w:cs="Times New Roman"/>
                  <w:sz w:val="12"/>
                  <w:szCs w:val="12"/>
                </w:rPr>
                <w:t xml:space="preserve">https://gisp.gov.ru/nmp/measure/9514994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Экспорт техники с гарантией обратного выкупа</w:t>
            </w:r>
            <w:r>
              <w:rPr>
                <w:rFonts w:ascii="Times New Roman" w:hAnsi="Times New Roman" w:cs="Times New Roman"/>
                <w:sz w:val="24"/>
                <w:szCs w:val="24"/>
              </w:rPr>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Постановление Правительства РФ от 24.10.2018 № 1269 «О предоставлении субсидий из федерального бюджета производителям специализированной техники и оборудования на возмещение части затрат, понесенных в связи с гарантией обратного выкупа продукции»</w:t>
            </w:r>
            <w:r>
              <w:rPr>
                <w:rFonts w:ascii="Times New Roman" w:hAnsi="Times New Roman" w:cs="Times New Roman"/>
                <w:sz w:val="24"/>
                <w:szCs w:val="24"/>
              </w:rPr>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82" w:tooltip="https://gisp.gov.ru/nmp/measure/12447208" w:history="1">
              <w:r>
                <w:rPr>
                  <w:rStyle w:val="711"/>
                  <w:rFonts w:ascii="Times New Roman" w:hAnsi="Times New Roman" w:cs="Times New Roman"/>
                  <w:sz w:val="12"/>
                  <w:szCs w:val="12"/>
                </w:rPr>
                <w:t xml:space="preserve">https://gisp.gov.ru/nmp/measure/12447208</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Сертификация промышленных товаров и лекарственных средств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23-60349-01062-Р от 21.06.2024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83" w:tooltip="https://www.exportcenter.ru/services/spetsialnye-programmy-po-podderzhke-eksporta/gospodderzhka-sertifikatsiya/" w:history="1">
              <w:r>
                <w:rPr>
                  <w:rStyle w:val="711"/>
                  <w:rFonts w:ascii="Times New Roman" w:hAnsi="Times New Roman" w:cs="Times New Roman"/>
                  <w:sz w:val="12"/>
                  <w:szCs w:val="12"/>
                </w:rPr>
                <w:t xml:space="preserve">https://www.exportcenter.ru/services/spetsialnye-programmy-po-podderzhke-eksporta/gospodderzhka-sertifikatsiya/</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84" w:tooltip="https://gisp.gov.ru/nmp/measure/12447430" w:history="1">
              <w:r>
                <w:rPr>
                  <w:rStyle w:val="711"/>
                  <w:rFonts w:ascii="Times New Roman" w:hAnsi="Times New Roman" w:cs="Times New Roman"/>
                  <w:sz w:val="12"/>
                  <w:szCs w:val="12"/>
                </w:rPr>
                <w:t xml:space="preserve">https://gisp.gov.ru/nmp/measure/12447430</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Сертификация продукции АПК</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25.12.2019 № 1816</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государственной поддержке организаций в целях компенсации части затрат, связанных с сертификацией продукции агропромышленного комплекса на внешних рынках»</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85" w:tooltip="https://www.exportcenter.ru/services/spetsialnye-programmy-po-podderzhke-eksporta/gospodderzhka-sertifikatsiya-produktsii-apk/" w:history="1">
              <w:r>
                <w:rPr>
                  <w:rStyle w:val="711"/>
                  <w:rFonts w:ascii="Times New Roman" w:hAnsi="Times New Roman" w:cs="Times New Roman"/>
                  <w:sz w:val="12"/>
                  <w:szCs w:val="12"/>
                </w:rPr>
                <w:t xml:space="preserve">https://www.exportcenter.ru/services/spetsialnye-programmy-po-podderzhke-eksporta/gospodderzhka-sertifikatsiya-produktsii-apk/</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Компенсация затрат в целях создания новой промышленной продукции, связанных с проведением НИОКР и (или) омологацией существующей промышленной продукции для внешних рынков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w:t>
            </w:r>
            <w:r>
              <w:rPr>
                <w:rFonts w:ascii="Times New Roman" w:hAnsi="Times New Roman" w:cs="Times New Roman"/>
                <w:sz w:val="24"/>
                <w:szCs w:val="24"/>
              </w:rPr>
              <w:t xml:space="preserve">ление Правительства РФ от 18.06.2021 № 931 «О государственной поддержке российских организаций на компенсацию части затрат в целях создания новой конкурентоспособной промышленной продукции, связанных с проведением научно-исследовательских и опытно-конструк</w:t>
            </w:r>
            <w:r>
              <w:rPr>
                <w:rFonts w:ascii="Times New Roman" w:hAnsi="Times New Roman" w:cs="Times New Roman"/>
                <w:sz w:val="24"/>
                <w:szCs w:val="24"/>
              </w:rPr>
              <w:t xml:space="preserve">торских работ и (или) омологацией существующей промышленной продукции для внешних рынков, и признании утратившими силу постановления Правительства Российской Федерации от 8 июля 2020 г. №</w:t>
            </w:r>
            <w:r>
              <w:rPr>
                <w:rFonts w:ascii="Times New Roman" w:hAnsi="Times New Roman" w:cs="Times New Roman"/>
                <w:sz w:val="24"/>
                <w:szCs w:val="24"/>
              </w:rPr>
              <w:t xml:space="preserve">1007 и отдельного положения акта Правительства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22-60343-00327-Р от 25.04.2024</w:t>
            </w: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highlight w:val="none"/>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86" w:tooltip="https://www.exportcenter.ru/services/spetsialnye-programmy-po-podderzhke-eksporta/gospodderzhka-niokr-i-omologatsiya/" w:history="1">
              <w:r>
                <w:rPr>
                  <w:rStyle w:val="711"/>
                  <w:rFonts w:ascii="Times New Roman" w:hAnsi="Times New Roman" w:cs="Times New Roman"/>
                  <w:sz w:val="12"/>
                  <w:szCs w:val="12"/>
                </w:rPr>
                <w:t xml:space="preserve">https://www.exportcenter.ru/services/spetsialnye-programmy-po-podderzhke-eksporta/gospodderzhka-niokr-i-omologatsiya/</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87" w:tooltip="https://gisp.gov.ru/nmp/measure/12447535" w:history="1">
              <w:r>
                <w:rPr>
                  <w:rStyle w:val="711"/>
                  <w:rFonts w:ascii="Times New Roman" w:hAnsi="Times New Roman" w:cs="Times New Roman"/>
                  <w:sz w:val="12"/>
                  <w:szCs w:val="12"/>
                </w:rPr>
                <w:t xml:space="preserve">https://gisp.gov.ru/nmp/measure/12447535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«Кредитование. Финансирование дебиторской задолженности» (кредит предоставляется</w:t>
            </w:r>
            <w:r>
              <w:rPr>
                <w:rFonts w:ascii="Times New Roman" w:hAnsi="Times New Roman" w:cs="Times New Roman"/>
                <w:sz w:val="24"/>
                <w:szCs w:val="24"/>
              </w:rPr>
              <w:t xml:space="preserve"> экспортеру на период ожидания поступления выручки по экспортному контракту, предусматривающему отсрочку платежа, при условии возникновения дебиторской задолженности и предоставления экспортером документов, подтверждающих отгрузку по экспортному контракту)</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88" w:tooltip="https://www.exportcenter.ru/services/kreditno-garantiynaya-podderzhka/korp_clientam/finansirovanie-debitorskoy-zadolzhennosti/" w:history="1">
              <w:r>
                <w:rPr>
                  <w:rStyle w:val="711"/>
                  <w:rFonts w:ascii="Times New Roman" w:hAnsi="Times New Roman" w:cs="Times New Roman"/>
                  <w:sz w:val="12"/>
                  <w:szCs w:val="12"/>
                </w:rPr>
                <w:t xml:space="preserve">https://www.exportcenter.ru/services/kreditno-garantiynaya-podderzhka/korp_clientam/finansirovanie-debitorskoy-zadolzhennosti/</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89" w:tooltip="https://gisp.gov.ru/nmp/measure/7768832" w:history="1">
              <w:r>
                <w:rPr>
                  <w:rStyle w:val="711"/>
                  <w:rFonts w:ascii="Times New Roman" w:hAnsi="Times New Roman" w:cs="Times New Roman"/>
                  <w:sz w:val="12"/>
                  <w:szCs w:val="12"/>
                </w:rPr>
                <w:t xml:space="preserve">https://gisp.gov.ru/nmp/measure/7768832</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«Кредитование. Предэкспортное финансирование» (кредитный продукт позволяет экспортерам несырьевых товаров или услуг пополнить оборотные средства на целевые расходы, связанные с исполнением обязательств по экспортным контрактам)</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90" w:tooltip="https://www.exportcenter.ru/services/kreditno-garantiynaya-podderzhka/korp_clientam/predeksportnoe-finansirovanie/" w:history="1">
              <w:r>
                <w:rPr>
                  <w:rStyle w:val="711"/>
                  <w:rFonts w:ascii="Times New Roman" w:hAnsi="Times New Roman" w:cs="Times New Roman"/>
                  <w:sz w:val="12"/>
                  <w:szCs w:val="12"/>
                </w:rPr>
                <w:t xml:space="preserve">https://www.exportcenter.ru/services/kreditno-garantiynaya-podderzhka/korp_clientam/predeksportnoe-finansirovanie/</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91" w:tooltip="https://gisp.gov.ru/nmp/measure/12448092" w:history="1">
              <w:r>
                <w:rPr>
                  <w:rStyle w:val="711"/>
                  <w:rFonts w:ascii="Times New Roman" w:hAnsi="Times New Roman" w:cs="Times New Roman"/>
                  <w:sz w:val="12"/>
                  <w:szCs w:val="12"/>
                </w:rPr>
                <w:t xml:space="preserve">https://gisp.gov.ru/nmp/measure/12448092</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«Кредитование. Деньги на экспорт» (позволяет экспортерам оперативно, без предоставления залогов и по минимальной ставке получить средства на оплату расходов, связанных с исполнением экспортного контракта на поставку высокотехнологичной продукции)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92" w:tooltip="https://www.exportcenter.ru/services/kreditno-garantiynaya-podderzhka/korp_clientam/kredit-dengi-na-eksport/" w:history="1">
              <w:r>
                <w:rPr>
                  <w:rStyle w:val="711"/>
                  <w:rFonts w:ascii="Times New Roman" w:hAnsi="Times New Roman" w:cs="Times New Roman"/>
                  <w:sz w:val="12"/>
                  <w:szCs w:val="12"/>
                </w:rPr>
                <w:t xml:space="preserve">https://www.exportcenter.ru/services/kreditno-garantiynaya-podderzhka/korp_clientam/kredit-dengi-na-eksport/</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«Кредитование. «Экспортный стандарт» для МСП (финансирование расходов экспортера (предприятия МСП) для исполнения обязательств по экспортному контракту)</w:t>
            </w:r>
            <w:r>
              <w:rPr>
                <w:rFonts w:ascii="Times New Roman" w:hAnsi="Times New Roman" w:cs="Times New Roman"/>
                <w:sz w:val="24"/>
                <w:szCs w:val="24"/>
              </w:rPr>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93" w:tooltip="https://www.exportcenter.ru/services/kreditno-garantiynaya-podderzhka/korp_clientam/eksportnyy-standart/" w:history="1">
              <w:r>
                <w:rPr>
                  <w:rStyle w:val="711"/>
                  <w:rFonts w:ascii="Times New Roman" w:hAnsi="Times New Roman" w:cs="Times New Roman"/>
                  <w:sz w:val="12"/>
                  <w:szCs w:val="12"/>
                </w:rPr>
                <w:t xml:space="preserve">https://www.exportcenter.ru/services/kreditno-garantiynaya-podderzhka/korp_clientam/eksportnyy-standart/</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94" w:tooltip="https://gisp.gov.ru/nmp/measure/11268824" w:history="1">
              <w:r>
                <w:rPr>
                  <w:rStyle w:val="711"/>
                  <w:rFonts w:ascii="Times New Roman" w:hAnsi="Times New Roman" w:cs="Times New Roman"/>
                  <w:sz w:val="12"/>
                  <w:szCs w:val="12"/>
                </w:rPr>
                <w:t xml:space="preserve">https://gisp.gov.ru/nmp/measure/11268824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Господдержка. Выставки и бизнес-миссии РЭЦ (компенсация фактически произведенных затрат организаций на участие в международных выставочно-ярмарочных  мероприятиях)</w:t>
            </w:r>
            <w:r>
              <w:rPr>
                <w:rFonts w:ascii="Times New Roman" w:hAnsi="Times New Roman" w:cs="Times New Roman"/>
                <w:sz w:val="24"/>
                <w:szCs w:val="24"/>
              </w:rPr>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28.03.2019 № 342 «О государственной поддержке акционерного общества «Российский экспортный центр», г.Москва, в целях развития инфраструктуры повышения международной конкурентоспособности»</w:t>
            </w:r>
            <w:r>
              <w:rPr>
                <w:rFonts w:ascii="Times New Roman" w:hAnsi="Times New Roman" w:cs="Times New Roman"/>
                <w:sz w:val="24"/>
                <w:szCs w:val="24"/>
              </w:rPr>
            </w:r>
            <w:r>
              <w:rPr>
                <w:rFonts w:ascii="Times New Roman" w:hAnsi="Times New Roman" w:cs="Times New Roman"/>
                <w:sz w:val="24"/>
                <w:szCs w:val="24"/>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95" w:tooltip="https://www.exportcenter.ru/services/prodvizhenie-na-vneshnie-rynki/exhibitions-business-missions/gospodderzhka-vystavki-i-biznes-missii-rets/" w:history="1">
              <w:r>
                <w:rPr>
                  <w:rStyle w:val="711"/>
                  <w:rFonts w:ascii="Times New Roman" w:hAnsi="Times New Roman" w:cs="Times New Roman"/>
                  <w:sz w:val="12"/>
                  <w:szCs w:val="12"/>
                </w:rPr>
                <w:t xml:space="preserve">https://www.exportcenter.ru/services/prodvizhenie-na-vneshnie-rynki/exhibitions-business-missions/gospodderzhka-vystavki-i-biznes-missii-rets/</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«Интернациона</w:t>
            </w:r>
            <w:r>
              <w:rPr>
                <w:rFonts w:ascii="Times New Roman" w:hAnsi="Times New Roman" w:cs="Times New Roman"/>
                <w:sz w:val="24"/>
                <w:szCs w:val="24"/>
              </w:rPr>
              <w:t xml:space="preserve">лизация» (поддержка компаний, реализующих совместные проекты по разработке и освоению выпуска новых видов продукции с участием зарубежных партнеров, а также поддержка компаний, разрабатывающих продукцию, предназначенную для реализации на зарубежных рынках)</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содействия развитию малых форм предприятий в научно-технической сфере</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Положение о программе</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96" w:tooltip="https://fasie.ru/programs/programma-internatsionalizatsiya/" w:history="1">
              <w:r>
                <w:rPr>
                  <w:rStyle w:val="711"/>
                  <w:rFonts w:ascii="Times New Roman" w:hAnsi="Times New Roman" w:cs="Times New Roman"/>
                  <w:sz w:val="12"/>
                  <w:szCs w:val="12"/>
                </w:rPr>
                <w:t xml:space="preserve">https://fasie.ru/programs/programma-internatsionalizatsiya/</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97" w:tooltip="https://gisp.gov.ru/nmp/measure/8168882" w:history="1">
              <w:r>
                <w:rPr>
                  <w:rStyle w:val="711"/>
                  <w:rFonts w:ascii="Times New Roman" w:hAnsi="Times New Roman" w:cs="Times New Roman"/>
                  <w:sz w:val="12"/>
                  <w:szCs w:val="12"/>
                </w:rPr>
                <w:t xml:space="preserve">https://gisp.gov.ru/nmp/measure/8168882</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49"/>
              <w:widowControl w:val="off"/>
              <w:numPr>
                <w:numId w:val="1"/>
                <w:ilvl w:val="1"/>
              </w:numPr>
              <w:spacing w:before="0"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Повышение производительности труда.</w:t>
            </w:r>
            <w:r>
              <w:rPr>
                <w:rFonts w:ascii="Times New Roman" w:hAnsi="Times New Roman" w:cs="Times New Roman"/>
                <w:b/>
                <w:i/>
                <w:sz w:val="24"/>
                <w:szCs w:val="24"/>
              </w:rPr>
            </w:r>
            <w:r>
              <w:rPr>
                <w:rFonts w:ascii="Times New Roman" w:hAnsi="Times New Roman" w:cs="Times New Roman"/>
                <w:b/>
                <w:i/>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Льготные займы по программе «Повышение производительности труда» под 5% годовых (3% при наличии банковской гарантии, а также гарантии ВЭБ.РФ, Корпорации МСП или региональных гарантийных организаций)</w:t>
            </w:r>
            <w:r>
              <w:rPr>
                <w:shd w:val="clear" w:color="auto" w:fill="ffffff"/>
              </w:rPr>
            </w:r>
            <w:r>
              <w:rPr>
                <w:shd w:val="clear" w:color="auto" w:fill="ffffff"/>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Фонд развития промышленности (ФРП)</w:t>
            </w:r>
            <w:r>
              <w:rPr>
                <w:shd w:val="clear" w:color="auto" w:fill="ffffff"/>
              </w:rPr>
            </w:r>
            <w:r>
              <w:rPr>
                <w:shd w:val="clear" w:color="auto" w:fill="ffffff"/>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Стандарт ФРП</w:t>
            </w:r>
            <w:r>
              <w:rPr>
                <w:shd w:val="clear" w:color="auto" w:fill="ffffff"/>
              </w:rPr>
            </w:r>
            <w:r>
              <w:rPr>
                <w:shd w:val="clear" w:color="auto" w:fill="ffffff"/>
              </w:rPr>
            </w:r>
          </w:p>
          <w:p>
            <w:pPr>
              <w:pStyle w:val="678"/>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xml:space="preserve">СФ-И-117 от 15.11.2022</w:t>
            </w:r>
            <w:r>
              <w:rPr>
                <w:shd w:val="clear" w:color="auto" w:fill="ffffff"/>
              </w:rPr>
            </w:r>
            <w:r>
              <w:rPr>
                <w:shd w:val="clear" w:color="auto" w:fill="ffffff"/>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hyperlink r:id="rId98" w:tooltip="https://frprf.ru/zaymy/proizvoditelnost-truda/" w:history="1">
              <w:r>
                <w:rPr>
                  <w:rStyle w:val="711"/>
                  <w:rFonts w:ascii="Times New Roman" w:hAnsi="Times New Roman"/>
                  <w:sz w:val="12"/>
                  <w:szCs w:val="12"/>
                  <w:highlight w:val="white"/>
                  <w:shd w:val="clear" w:color="auto" w:fill="81d41a"/>
                </w:rPr>
                <w:t xml:space="preserve">https://frprf.ru/zaymy/proizvoditelnost-truda/</w:t>
              </w:r>
            </w:hyperlink>
          </w:p>
          <w:p>
            <w:pPr>
              <w:pStyle w:val="678"/>
              <w:widowControl w:val="off"/>
              <w:spacing w:before="0" w:after="0" w:line="240" w:lineRule="auto"/>
              <w:jc w:val="center"/>
            </w:pPr>
            <w:hyperlink r:id="rId99" w:tooltip="https://gisp.gov.ru/nmp/measure/9126744" w:history="1">
              <w:r>
                <w:rPr>
                  <w:rStyle w:val="711"/>
                  <w:rFonts w:ascii="Times New Roman" w:hAnsi="Times New Roman"/>
                  <w:sz w:val="12"/>
                  <w:szCs w:val="12"/>
                  <w:highlight w:val="white"/>
                  <w:shd w:val="clear" w:color="auto" w:fill="81d41a"/>
                </w:rPr>
                <w:t xml:space="preserve">https://gisp.gov.ru/nmp/measure/9126744</w:t>
              </w:r>
            </w:hyperlink>
          </w:p>
          <w:p>
            <w:pPr>
              <w:pStyle w:val="678"/>
              <w:widowControl w:val="off"/>
              <w:spacing w:before="0" w:after="0" w:line="240" w:lineRule="auto"/>
              <w:jc w:val="center"/>
              <w:rPr>
                <w:rFonts w:ascii="Times New Roman" w:hAnsi="Times New Roman"/>
                <w:sz w:val="12"/>
                <w:szCs w:val="12"/>
                <w:shd w:val="clear" w:color="auto" w:fill="81d41a"/>
              </w:rPr>
            </w:pPr>
            <w:r>
              <w:rPr>
                <w:rFonts w:ascii="Times New Roman" w:hAnsi="Times New Roman"/>
                <w:sz w:val="12"/>
                <w:szCs w:val="12"/>
                <w:shd w:val="clear" w:color="auto" w:fill="81d41a"/>
              </w:rPr>
            </w:r>
            <w:r>
              <w:rPr>
                <w:rFonts w:ascii="Times New Roman" w:hAnsi="Times New Roman"/>
                <w:sz w:val="12"/>
                <w:szCs w:val="12"/>
                <w:shd w:val="clear" w:color="auto" w:fill="81d41a"/>
              </w:rPr>
            </w:r>
            <w:r>
              <w:rPr>
                <w:rFonts w:ascii="Times New Roman" w:hAnsi="Times New Roman"/>
                <w:sz w:val="12"/>
                <w:szCs w:val="12"/>
                <w:shd w:val="clear" w:color="auto" w:fill="81d41a"/>
              </w:rPr>
            </w:r>
          </w:p>
          <w:p>
            <w:pPr>
              <w:pStyle w:val="678"/>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p>
            <w:pPr>
              <w:pStyle w:val="678"/>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p>
            <w:pPr>
              <w:pStyle w:val="678"/>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p>
            <w:pPr>
              <w:pStyle w:val="678"/>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Льготные займы по программе «Повышение производительности труда»</w:t>
            </w:r>
            <w:r>
              <w:rPr>
                <w:shd w:val="clear" w:color="auto" w:fill="ffffff"/>
              </w:rPr>
              <w:t xml:space="preserve"> </w:t>
            </w:r>
            <w:r>
              <w:rPr>
                <w:rFonts w:ascii="Times New Roman" w:hAnsi="Times New Roman" w:cs="Times New Roman"/>
                <w:sz w:val="24"/>
                <w:szCs w:val="24"/>
                <w:shd w:val="clear" w:color="auto" w:fill="ffffff"/>
              </w:rPr>
              <w:t xml:space="preserve">под 5% годовых (3% при наличии банковской гарантии, а также гарантии ВЭБ.РФ, Корпорации МСП или региональных гарантийных организаций)</w:t>
            </w:r>
            <w:r>
              <w:rPr>
                <w:shd w:val="clear" w:color="auto" w:fill="ffffff"/>
              </w:rPr>
            </w:r>
            <w:r>
              <w:rPr>
                <w:shd w:val="clear" w:color="auto" w:fill="ffffff"/>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color w:val="000000"/>
                <w:sz w:val="24"/>
                <w:szCs w:val="24"/>
                <w:shd w:val="clear" w:color="auto" w:fill="ffffff"/>
              </w:rPr>
              <w:t xml:space="preserve">Инвестиционно-венчурный фонд Республики Татарстан (при софинансировании с ФРП)</w:t>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Регламент «Условия софинансирования проектов с ФРП по программе «Повышение производительности труда» от 26.06.2024 № 61 </w:t>
            </w:r>
            <w:r>
              <w:rPr>
                <w:shd w:val="clear" w:color="auto" w:fill="ffffff"/>
              </w:rPr>
            </w:r>
            <w:r>
              <w:rPr>
                <w:shd w:val="clear" w:color="auto" w:fill="ffffff"/>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hyperlink r:id="rId100" w:tooltip="https://ivf.tatarstan.ru/programma-proizvoditelsnot-truda.htm" w:history="1">
              <w:r>
                <w:rPr>
                  <w:rStyle w:val="711"/>
                  <w:rFonts w:ascii="Times New Roman" w:hAnsi="Times New Roman"/>
                  <w:sz w:val="12"/>
                  <w:szCs w:val="12"/>
                  <w:highlight w:val="white"/>
                  <w:shd w:val="clear" w:color="auto" w:fill="81d41a"/>
                </w:rPr>
                <w:t xml:space="preserve">https://ivf.tatarstan.ru/programma-proizvoditelsnot-truda.htm</w:t>
              </w:r>
            </w:hyperlink>
          </w:p>
          <w:p>
            <w:pPr>
              <w:pStyle w:val="678"/>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Обучение на Фабрике производственных и офисных процессов</w:t>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Региональный центр компетенций в сфере производительности труда Республики Татарстан – РЦК РТ</w:t>
            </w:r>
          </w:p>
          <w:p>
            <w:pPr>
              <w:pStyle w:val="678"/>
              <w:widowControl w:val="off"/>
              <w:spacing w:before="0" w:after="0" w:line="240" w:lineRule="auto"/>
              <w:jc w:val="center"/>
            </w:pPr>
            <w:r>
              <w:rPr>
                <w:rFonts w:ascii="Times New Roman" w:hAnsi="Times New Roman" w:cs="Times New Roman"/>
                <w:sz w:val="24"/>
                <w:szCs w:val="24"/>
              </w:rPr>
              <w:t xml:space="preserve">(ГАУ «ЦЭТ РТ»)</w:t>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78"/>
              <w:widowControl w:val="off"/>
              <w:spacing w:before="0" w:after="0" w:line="240" w:lineRule="auto"/>
              <w:jc w:val="center"/>
            </w:pPr>
            <w:r>
              <w:rPr>
                <w:rFonts w:ascii="Times New Roman" w:hAnsi="Times New Roman" w:cs="Times New Roman"/>
                <w:sz w:val="24"/>
                <w:szCs w:val="24"/>
              </w:rPr>
              <w:t xml:space="preserve">Производительность труда»</w:t>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hyperlink r:id="rId101" w:tooltip="https://ppt.tatarstan.ru/fabrika-protsessov.htm" w:history="1">
              <w:r>
                <w:rPr>
                  <w:rStyle w:val="711"/>
                  <w:rFonts w:ascii="Times New Roman" w:hAnsi="Times New Roman"/>
                  <w:sz w:val="12"/>
                  <w:szCs w:val="12"/>
                  <w:highlight w:val="white"/>
                  <w:shd w:val="clear" w:color="auto" w:fill="81d41a"/>
                </w:rPr>
                <w:t xml:space="preserve">https://ppt.tatarstan.ru/fabrika-protsessov.htm</w:t>
              </w:r>
            </w:hyperlink>
          </w:p>
          <w:p>
            <w:pPr>
              <w:pStyle w:val="678"/>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Экспертная поддержка РЦК РТ по реализации проектов по повышению производительности труда</w:t>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Региональный центр компетенций в сфере производительности труда Республики Татарстан – РЦК РТ</w:t>
            </w:r>
          </w:p>
          <w:p>
            <w:pPr>
              <w:pStyle w:val="678"/>
              <w:widowControl w:val="off"/>
              <w:spacing w:before="0" w:after="0" w:line="240" w:lineRule="auto"/>
              <w:jc w:val="center"/>
            </w:pPr>
            <w:r>
              <w:rPr>
                <w:rFonts w:ascii="Times New Roman" w:hAnsi="Times New Roman" w:cs="Times New Roman"/>
                <w:sz w:val="24"/>
                <w:szCs w:val="24"/>
              </w:rPr>
              <w:t xml:space="preserve">(ГАУ «ЦЭТ РТ»)</w:t>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78"/>
              <w:widowControl w:val="off"/>
              <w:spacing w:before="0" w:after="0" w:line="240" w:lineRule="auto"/>
              <w:jc w:val="center"/>
            </w:pPr>
            <w:r>
              <w:rPr>
                <w:rFonts w:ascii="Times New Roman" w:hAnsi="Times New Roman" w:cs="Times New Roman"/>
                <w:sz w:val="24"/>
                <w:szCs w:val="24"/>
              </w:rPr>
              <w:t xml:space="preserve">«Производительность труда»</w:t>
            </w:r>
          </w:p>
          <w:p>
            <w:pPr>
              <w:pStyle w:val="678"/>
              <w:widowControl w:val="off"/>
              <w:spacing w:before="0" w:after="0" w:line="240" w:lineRule="auto"/>
              <w:jc w:val="center"/>
            </w:pPr>
            <w:r>
              <w:rPr>
                <w:rFonts w:ascii="Times New Roman" w:hAnsi="Times New Roman" w:cs="Times New Roman"/>
                <w:sz w:val="24"/>
                <w:szCs w:val="24"/>
              </w:rPr>
              <w:t xml:space="preserve">постановление Кабинета Министров Республики Татарстан</w:t>
            </w:r>
          </w:p>
          <w:p>
            <w:pPr>
              <w:pStyle w:val="678"/>
              <w:widowControl w:val="off"/>
              <w:spacing w:before="0" w:after="0" w:line="240" w:lineRule="auto"/>
              <w:jc w:val="center"/>
              <w:rPr>
                <w:rFonts w:ascii="Times New Roman" w:hAnsi="Times New Roman" w:cs="Times New Roman"/>
                <w:szCs w:val="24"/>
              </w:rPr>
            </w:pPr>
            <w:r>
              <w:rPr>
                <w:rFonts w:ascii="Times New Roman" w:hAnsi="Times New Roman" w:cs="Times New Roman"/>
                <w:sz w:val="24"/>
                <w:szCs w:val="24"/>
              </w:rPr>
              <w:t xml:space="preserve">от 31.10.2013 № 823 «Об утверждении государственной программы Республики Татарстан «Экономическое развитие и инновационная экономика Республики Татарстан»</w:t>
            </w:r>
            <w:r>
              <w:rPr>
                <w:rFonts w:ascii="Times New Roman" w:hAnsi="Times New Roman" w:cs="Times New Roman"/>
                <w:szCs w:val="24"/>
              </w:rPr>
            </w:r>
            <w:r>
              <w:rPr>
                <w:rFonts w:ascii="Times New Roman" w:hAnsi="Times New Roman" w:cs="Times New Roman"/>
                <w:szCs w:val="24"/>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hyperlink r:id="rId102" w:tooltip="https://xn--b1aedfedwqbdfbnzkf0oe.xn--p1ai/" w:history="1">
              <w:r>
                <w:rPr>
                  <w:rStyle w:val="711"/>
                  <w:rFonts w:ascii="Times New Roman" w:hAnsi="Times New Roman"/>
                  <w:sz w:val="12"/>
                  <w:szCs w:val="12"/>
                  <w:highlight w:val="white"/>
                  <w:shd w:val="clear" w:color="auto" w:fill="81d41a"/>
                </w:rPr>
                <w:t xml:space="preserve">https://xn--b1aedfedwqbdfbnzkf0oe.xn--p1ai/</w:t>
              </w:r>
            </w:hyperlink>
          </w:p>
          <w:p>
            <w:pPr>
              <w:pStyle w:val="678"/>
              <w:widowControl w:val="off"/>
              <w:spacing w:before="0" w:after="0" w:line="240" w:lineRule="auto"/>
              <w:jc w:val="center"/>
            </w:pPr>
            <w:hyperlink r:id="rId103" w:tooltip="https://ppt.tatarstan.ru/" w:history="1">
              <w:r>
                <w:rPr>
                  <w:rStyle w:val="711"/>
                  <w:rFonts w:ascii="Times New Roman" w:hAnsi="Times New Roman"/>
                  <w:sz w:val="12"/>
                  <w:szCs w:val="12"/>
                  <w:highlight w:val="white"/>
                  <w:shd w:val="clear" w:color="auto" w:fill="81d41a"/>
                </w:rPr>
                <w:t xml:space="preserve">https://ppt.tatarstan.ru/</w:t>
              </w:r>
            </w:hyperlink>
          </w:p>
          <w:p>
            <w:pPr>
              <w:pStyle w:val="678"/>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Обучение сотрудников предприятий на сайте производительность.рф (электронные курсы)</w:t>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«Федеральный центр компетенций в сфере производительности труда»</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pP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78"/>
              <w:widowControl w:val="off"/>
              <w:spacing w:before="0" w:after="0" w:line="240" w:lineRule="auto"/>
              <w:jc w:val="center"/>
            </w:pPr>
            <w:r>
              <w:rPr>
                <w:rFonts w:ascii="Times New Roman" w:hAnsi="Times New Roman" w:cs="Times New Roman"/>
                <w:sz w:val="24"/>
                <w:szCs w:val="24"/>
              </w:rPr>
              <w:t xml:space="preserve"> </w:t>
            </w:r>
            <w:r>
              <w:rPr>
                <w:rFonts w:ascii="Times New Roman" w:hAnsi="Times New Roman" w:cs="Times New Roman"/>
                <w:sz w:val="24"/>
                <w:szCs w:val="24"/>
              </w:rPr>
              <w:t xml:space="preserve">«Производительность труда»</w:t>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hyperlink r:id="rId104" w:tooltip="https://производительность.рф/projectmembers/education/" w:history="1">
              <w:r>
                <w:rPr>
                  <w:rStyle w:val="711"/>
                  <w:rFonts w:ascii="Times New Roman" w:hAnsi="Times New Roman"/>
                  <w:sz w:val="12"/>
                  <w:szCs w:val="12"/>
                  <w:highlight w:val="white"/>
                  <w:shd w:val="clear" w:color="auto" w:fill="81d41a"/>
                </w:rPr>
                <w:t xml:space="preserve">https://производительность.рф/projectmembers/education/</w:t>
              </w:r>
            </w:hyperlink>
          </w:p>
          <w:p>
            <w:pPr>
              <w:pStyle w:val="678"/>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Обучение руководителей предприятий по программе «Лидеры производительности»</w:t>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Всероссийская академия внешней торговли Минэкономразвития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78"/>
              <w:widowControl w:val="off"/>
              <w:spacing w:before="0" w:after="0" w:line="240" w:lineRule="auto"/>
              <w:jc w:val="center"/>
            </w:pPr>
            <w:r>
              <w:rPr>
                <w:rFonts w:ascii="Times New Roman" w:hAnsi="Times New Roman" w:cs="Times New Roman"/>
                <w:sz w:val="24"/>
                <w:szCs w:val="24"/>
              </w:rPr>
              <w:t xml:space="preserve">«Производительность труда»</w:t>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hyperlink r:id="rId105" w:tooltip="https://liderypro.ru/program/" w:history="1">
              <w:r>
                <w:rPr>
                  <w:rStyle w:val="711"/>
                  <w:rFonts w:ascii="Times New Roman" w:hAnsi="Times New Roman"/>
                  <w:sz w:val="12"/>
                  <w:szCs w:val="12"/>
                  <w:highlight w:val="white"/>
                  <w:shd w:val="clear" w:color="auto" w:fill="81d41a"/>
                </w:rPr>
                <w:t xml:space="preserve">https://liderypro.ru/program/</w:t>
              </w:r>
            </w:hyperlink>
          </w:p>
          <w:p>
            <w:pPr>
              <w:pStyle w:val="678"/>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p>
            <w:pPr>
              <w:pStyle w:val="678"/>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Обучение по программе «Акселератор экспортного роста»</w:t>
            </w:r>
            <w:r>
              <w:rPr>
                <w:rFonts w:ascii="Times New Roman" w:hAnsi="Times New Roman" w:cs="Times New Roman"/>
                <w:sz w:val="24"/>
                <w:szCs w:val="24"/>
              </w:rPr>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Школа экспорта Российского экспортного центра</w:t>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78"/>
              <w:widowControl w:val="off"/>
              <w:spacing w:before="0" w:after="0" w:line="240" w:lineRule="auto"/>
              <w:jc w:val="center"/>
            </w:pPr>
            <w:r>
              <w:rPr>
                <w:rFonts w:ascii="Times New Roman" w:hAnsi="Times New Roman" w:cs="Times New Roman"/>
                <w:sz w:val="24"/>
                <w:szCs w:val="24"/>
              </w:rPr>
              <w:t xml:space="preserve">«Производительность труда»</w:t>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r>
              <w:fldChar w:fldCharType="begin"/>
            </w:r>
            <w:r>
              <w:rPr>
                <w:rStyle w:val="711"/>
                <w:rFonts w:ascii="Times New Roman" w:hAnsi="Times New Roman"/>
                <w:sz w:val="12"/>
                <w:szCs w:val="12"/>
                <w:highlight w:val="white"/>
                <w:shd w:val="clear" w:color="auto" w:fill="81d41a"/>
              </w:rPr>
              <w:instrText xml:space="preserve"> HYPERLINK "https://exportedu.ru/acceleration" \l "_blank"</w:instrText>
            </w:r>
            <w:r>
              <w:rPr>
                <w:rStyle w:val="711"/>
                <w:rFonts w:ascii="Times New Roman" w:hAnsi="Times New Roman"/>
                <w:sz w:val="12"/>
                <w:szCs w:val="12"/>
                <w:highlight w:val="white"/>
                <w:shd w:val="clear" w:color="auto" w:fill="81d41a"/>
              </w:rPr>
              <w:fldChar w:fldCharType="separate"/>
            </w:r>
            <w:r>
              <w:rPr>
                <w:rStyle w:val="711"/>
                <w:rFonts w:ascii="Times New Roman" w:hAnsi="Times New Roman"/>
                <w:sz w:val="12"/>
                <w:szCs w:val="12"/>
                <w:highlight w:val="white"/>
                <w:shd w:val="clear" w:color="auto" w:fill="81d41a"/>
              </w:rPr>
              <w:t xml:space="preserve">https://exportedu.ru/acceleration#accelerator</w:t>
            </w:r>
            <w:r>
              <w:rPr>
                <w:rStyle w:val="711"/>
                <w:rFonts w:ascii="Times New Roman" w:hAnsi="Times New Roman"/>
                <w:sz w:val="12"/>
                <w:szCs w:val="12"/>
                <w:highlight w:val="white"/>
                <w:shd w:val="clear" w:color="auto" w:fill="81d41a"/>
              </w:rPr>
              <w:fldChar w:fldCharType="end"/>
            </w:r>
          </w:p>
          <w:p>
            <w:pPr>
              <w:pStyle w:val="678"/>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p>
            <w:pPr>
              <w:pStyle w:val="678"/>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 на внедрение российских ИТ-решений</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фонд развития информационных технологий</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w:t>
            </w:r>
            <w:r>
              <w:rPr>
                <w:rFonts w:ascii="Times New Roman" w:hAnsi="Times New Roman" w:cs="Times New Roman"/>
                <w:sz w:val="24"/>
                <w:szCs w:val="24"/>
              </w:rPr>
              <w:t xml:space="preserve">ельства РФ от 03.05.2019 № 550 «Об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hyperlink r:id="rId106" w:tooltip="https://рфрит.рф/support-measure/grants/grant-na-vnedrenie-rossiiskii-it-reshenii/" w:history="1">
              <w:r>
                <w:rPr>
                  <w:rStyle w:val="711"/>
                  <w:rFonts w:ascii="Times New Roman" w:hAnsi="Times New Roman" w:cs="Times New Roman"/>
                  <w:sz w:val="12"/>
                  <w:szCs w:val="12"/>
                </w:rPr>
                <w:t xml:space="preserve">https://рфрит.рф/support-measure/grants/grant-na-vnedrenie-rossiiskii-it-reshenii/</w:t>
              </w:r>
            </w:hyperlink>
          </w:p>
          <w:p>
            <w:pPr>
              <w:pStyle w:val="678"/>
              <w:widowControl w:val="off"/>
              <w:spacing w:before="0" w:after="0" w:line="240" w:lineRule="auto"/>
              <w:jc w:val="center"/>
            </w:pPr>
            <w:hyperlink r:id="rId107" w:tooltip="https://производительность.рф/projectmembers/grantovye-konkursy/" w:history="1">
              <w:r>
                <w:rPr>
                  <w:rStyle w:val="711"/>
                  <w:rFonts w:ascii="Times New Roman" w:hAnsi="Times New Roman" w:cs="Times New Roman"/>
                  <w:sz w:val="12"/>
                  <w:szCs w:val="12"/>
                </w:rPr>
                <w:t xml:space="preserve">https://производительность.рф/projectmembers/grantovye-konkursy/</w:t>
              </w:r>
            </w:hyperlink>
          </w:p>
          <w:p>
            <w:pPr>
              <w:pStyle w:val="678"/>
              <w:widowControl w:val="off"/>
              <w:spacing w:before="0" w:after="0" w:line="240" w:lineRule="auto"/>
              <w:jc w:val="center"/>
            </w:pPr>
            <w:hyperlink r:id="rId108" w:tooltip="https://invest.economy.gov.ru/grant-na-vnedrenie-rossiyskih-it-resheniy/regulations" w:history="1">
              <w:r>
                <w:rPr>
                  <w:rStyle w:val="711"/>
                  <w:rFonts w:ascii="Times New Roman" w:hAnsi="Times New Roman" w:cs="Times New Roman"/>
                  <w:sz w:val="12"/>
                  <w:szCs w:val="12"/>
                </w:rPr>
                <w:t xml:space="preserve">https://invest.economy.gov.ru/grant-na-vnedrenie-rossiyskih-it-resheniy/regulations</w:t>
              </w:r>
            </w:hyperlink>
          </w:p>
          <w:p>
            <w:pPr>
              <w:pStyle w:val="678"/>
              <w:widowControl w:val="off"/>
              <w:spacing w:before="0" w:after="0" w:line="240" w:lineRule="auto"/>
              <w:jc w:val="center"/>
            </w:pPr>
            <w:hyperlink r:id="rId109" w:tooltip="https://gisp.gov.ru/nmp/measure/12446565" w:history="1">
              <w:r>
                <w:rPr>
                  <w:rStyle w:val="711"/>
                  <w:rFonts w:ascii="Times New Roman" w:hAnsi="Times New Roman" w:cs="Times New Roman"/>
                  <w:sz w:val="12"/>
                  <w:szCs w:val="12"/>
                </w:rPr>
                <w:t xml:space="preserve">https://gisp.gov.ru/nmp/measure/12446565</w:t>
              </w:r>
            </w:hyperlink>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pPr>
            <w:r>
              <w:rPr>
                <w:rStyle w:val="711"/>
                <w:rFonts w:ascii="Times New Roman" w:hAnsi="Times New Roman" w:cs="Times New Roman"/>
                <w:color w:val="auto"/>
                <w:sz w:val="12"/>
                <w:szCs w:val="12"/>
              </w:rPr>
              <w:br/>
            </w:r>
          </w:p>
        </w:tc>
      </w:tr>
      <w:tr>
        <w:trPr/>
        <w:tblPrEx/>
        <w:tc>
          <w:tcPr>
            <w:tcW w:w="15127"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49"/>
              <w:widowControl w:val="off"/>
              <w:numPr>
                <w:numId w:val="1"/>
                <w:ilvl w:val="0"/>
              </w:numPr>
              <w:spacing w:before="0" w:after="0" w:line="240" w:lineRule="auto"/>
              <w:contextualSpacing/>
              <w:jc w:val="center"/>
              <w:rPr>
                <w:rFonts w:ascii="Times New Roman" w:hAnsi="Times New Roman"/>
                <w:sz w:val="24"/>
                <w:szCs w:val="24"/>
              </w:rPr>
            </w:pPr>
            <w:r>
              <w:rPr>
                <w:rFonts w:ascii="Times New Roman" w:hAnsi="Times New Roman" w:cs="Times New Roman"/>
                <w:b/>
                <w:sz w:val="24"/>
                <w:szCs w:val="24"/>
              </w:rPr>
              <w:t xml:space="preserve">Стимулирование инвестиционной активности.</w:t>
            </w:r>
            <w:r>
              <w:rPr>
                <w:rFonts w:ascii="Times New Roman" w:hAnsi="Times New Roman"/>
                <w:sz w:val="24"/>
                <w:szCs w:val="24"/>
              </w:rPr>
            </w:r>
            <w:r>
              <w:rPr>
                <w:rFonts w:ascii="Times New Roman" w:hAnsi="Times New Roman"/>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СПИК 2.0</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16.07.2020 № 1048 «Об утверждении правил заключения, изменения и расторжения специальных инвестиционных контрактов»</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110" w:tooltip="https://frprf.ru/navigator-gospodderzhky/spik_main/" w:history="1">
              <w:r>
                <w:rPr>
                  <w:rStyle w:val="711"/>
                  <w:rFonts w:ascii="Times New Roman" w:hAnsi="Times New Roman" w:cs="Times New Roman"/>
                  <w:sz w:val="12"/>
                  <w:szCs w:val="12"/>
                </w:rPr>
                <w:t xml:space="preserve">https://frprf.ru/navigator-gospodderzhky/spik_main/</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11" w:tooltip="https://gisp.gov.ru/nmp/measure/10511015" w:history="1">
              <w:r>
                <w:rPr>
                  <w:rStyle w:val="711"/>
                  <w:rFonts w:ascii="Times New Roman" w:hAnsi="Times New Roman" w:cs="Times New Roman"/>
                  <w:sz w:val="12"/>
                  <w:szCs w:val="12"/>
                </w:rPr>
                <w:t xml:space="preserve">https://gisp.gov.ru/nmp/measure/10511015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СПИК 1.0</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16.07.2015 № 708 «О специальных инвестиционных контрактах для отдельных отраслей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12" w:tooltip="https://frprf.ru/navigator-gospodderzhky/spik-1-0/" w:history="1">
              <w:r>
                <w:rPr>
                  <w:rStyle w:val="711"/>
                  <w:rFonts w:ascii="Times New Roman" w:hAnsi="Times New Roman" w:cs="Times New Roman"/>
                  <w:sz w:val="12"/>
                  <w:szCs w:val="12"/>
                </w:rPr>
                <w:t xml:space="preserve">https://frprf.ru/navigator-gospodderzhky/spik-1-0/</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Льготное кредитование организаций, реализующих инвестиционные проекты, направленные на производство приоритетной промышленной продукции (кластерная инвестиционная платформа)</w:t>
            </w:r>
            <w:r>
              <w:rPr>
                <w:rFonts w:ascii="Times New Roman" w:hAnsi="Times New Roman" w:cs="Times New Roman"/>
                <w:sz w:val="24"/>
                <w:szCs w:val="24"/>
              </w:rPr>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22.02.2023 № 295 «О государственной поддержке организаций,</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реализующих инвестиционные проекты,</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направленные на производство приоритетной продукции»</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highlight w:val="none"/>
                <w14:ligatures w14:val="none"/>
              </w:rPr>
            </w:pPr>
            <w:r>
              <w:rPr>
                <w:rFonts w:ascii="Times New Roman" w:hAnsi="Times New Roman" w:cs="Times New Roman"/>
                <w:sz w:val="24"/>
                <w:szCs w:val="24"/>
                <w:highlight w:val="none"/>
              </w:rPr>
              <w:t xml:space="preserve">Решение Министерства промышленности и торговли РФ о порядке п</w:t>
            </w:r>
            <w:r>
              <w:rPr>
                <w:rFonts w:ascii="Times New Roman" w:hAnsi="Times New Roman" w:cs="Times New Roman"/>
                <w:sz w:val="24"/>
                <w:szCs w:val="24"/>
                <w:highlight w:val="none"/>
              </w:rPr>
              <w:t xml:space="preserve">редоставления субсидии </w:t>
            </w:r>
            <w:r>
              <w:rPr>
                <w:rFonts w:ascii="Times New Roman" w:hAnsi="Times New Roman" w:cs="Times New Roman"/>
                <w:sz w:val="24"/>
                <w:szCs w:val="24"/>
                <w:highlight w:val="none"/>
              </w:rPr>
              <w:t xml:space="preserve">№ 24-64132-01596-Р</w:t>
            </w:r>
            <w:r>
              <w:rPr>
                <w:rFonts w:ascii="Times New Roman" w:hAnsi="Times New Roman" w:cs="Times New Roman"/>
                <w:sz w:val="24"/>
                <w:szCs w:val="24"/>
                <w:highlight w:val="none"/>
              </w:rPr>
              <w:t xml:space="preserve"> от 24.07.2024</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14:ligatures w14:val="none"/>
              </w:rPr>
            </w:r>
          </w:p>
        </w:tc>
        <w:tc>
          <w:tcPr>
            <w:tcW w:w="7101" w:type="dxa"/>
            <w:tcBorders>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13" w:tooltip="https://frprf.ru/navigator-gospodderzhky/kip/" w:history="1">
              <w:r>
                <w:rPr>
                  <w:rStyle w:val="711"/>
                  <w:rFonts w:ascii="Times New Roman" w:hAnsi="Times New Roman" w:cs="Times New Roman"/>
                  <w:sz w:val="12"/>
                  <w:szCs w:val="12"/>
                </w:rPr>
                <w:t xml:space="preserve">https://frprf.ru/navigator-gospodderzhky/kip/</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14" w:tooltip="https://gisp.gov.ru/support-measures/list/12448166/" w:history="1">
              <w:r>
                <w:rPr>
                  <w:rStyle w:val="711"/>
                  <w:rFonts w:ascii="Times New Roman" w:hAnsi="Times New Roman" w:cs="Times New Roman"/>
                  <w:sz w:val="12"/>
                  <w:szCs w:val="12"/>
                </w:rPr>
                <w:t xml:space="preserve">https://gisp.gov.ru/support-measures/list/12448166/</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Поддержка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технопарков и ОЭЗ</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Постановление Правительства РФ от 30.10.2014 № 1119 «Об отборе субъектов Российской Федерации, имеющих право на получ</w:t>
            </w:r>
            <w:r>
              <w:rPr>
                <w:rFonts w:ascii="Times New Roman" w:hAnsi="Times New Roman" w:cs="Times New Roman"/>
                <w:sz w:val="24"/>
                <w:szCs w:val="24"/>
              </w:rPr>
              <w:t xml:space="preserve">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w:t>
            </w: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highlight w:val="none"/>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15" w:tooltip="https://gisp.gov.ru/support-measures/list/7782674/" w:history="1">
              <w:r>
                <w:rPr>
                  <w:rStyle w:val="711"/>
                  <w:rFonts w:ascii="Times New Roman" w:hAnsi="Times New Roman" w:cs="Times New Roman"/>
                  <w:sz w:val="12"/>
                  <w:szCs w:val="12"/>
                </w:rPr>
                <w:t xml:space="preserve">https://gisp.gov.ru/support-measures/list/7782674/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color w:val="auto"/>
              </w:rPr>
            </w:pPr>
            <w:r>
              <w:rPr>
                <w:rFonts w:ascii="Times New Roman" w:hAnsi="Times New Roman" w:cs="Times New Roman"/>
                <w:sz w:val="24"/>
                <w:szCs w:val="24"/>
              </w:rPr>
              <w:t xml:space="preserve">Субсидии на возмещение затрат участникам промышленных технопарков при реализации </w:t>
            </w:r>
            <w:r>
              <w:rPr>
                <w:rFonts w:ascii="Times New Roman" w:hAnsi="Times New Roman" w:cs="Times New Roman"/>
                <w:color w:val="auto"/>
                <w:sz w:val="24"/>
                <w:szCs w:val="24"/>
              </w:rPr>
              <w:t xml:space="preserve">совместных проектов</w:t>
            </w:r>
            <w:r>
              <w:rPr>
                <w:color w:val="auto"/>
              </w:rPr>
            </w:r>
            <w:r>
              <w:rPr>
                <w:color w:val="auto"/>
              </w:rPr>
            </w:r>
          </w:p>
          <w:p>
            <w:pPr>
              <w:rPr>
                <w:color w:val="auto"/>
              </w:rPr>
            </w:pPr>
            <w:r>
              <w:rPr>
                <w:color w:val="auto"/>
              </w:rPr>
            </w:r>
            <w:r>
              <w:rPr>
                <w:color w:val="auto"/>
              </w:rPr>
            </w:r>
            <w:r>
              <w:rPr>
                <w:color w:val="auto"/>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rPr>
            </w:r>
            <w:r>
              <w:rPr>
                <w:rFonts w:ascii="Times New Roman" w:hAnsi="Times New Roman" w:cs="Times New Roman"/>
                <w:sz w:val="24"/>
                <w:szCs w:val="24"/>
              </w:rPr>
              <w:t xml:space="preserve">Постановление Правительства РФ от 19.09.2022 № 1659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w:t>
            </w:r>
            <w:r>
              <w:rPr>
                <w:rFonts w:ascii="Times New Roman" w:hAnsi="Times New Roman" w:cs="Times New Roman"/>
                <w:sz w:val="24"/>
                <w:szCs w:val="24"/>
                <w:highlight w:val="white"/>
              </w:rPr>
              <w:t xml:space="preserve">проектов создания, развития и (или) модернизации</w:t>
            </w:r>
            <w:r>
              <w:rPr>
                <w:rFonts w:ascii="Times New Roman" w:hAnsi="Times New Roman" w:cs="Times New Roman"/>
                <w:sz w:val="24"/>
                <w:szCs w:val="24"/>
                <w:highlight w:val="white"/>
              </w:rPr>
              <w:t xml:space="preserve"> объектов инфраструктуры промышленных технопарков в сфере электронной промышленности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rPr>
            </w:pPr>
            <w:r>
              <w:rPr>
                <w:rStyle w:val="711"/>
                <w:rFonts w:ascii="Times New Roman" w:hAnsi="Times New Roman" w:cs="Times New Roman"/>
                <w:sz w:val="12"/>
                <w:szCs w:val="12"/>
              </w:rPr>
            </w:r>
            <w:r>
              <w:rPr>
                <w:rStyle w:val="711"/>
                <w:rFonts w:ascii="Times New Roman" w:hAnsi="Times New Roman" w:cs="Times New Roman"/>
                <w:sz w:val="12"/>
                <w:szCs w:val="12"/>
              </w:rPr>
              <w:t xml:space="preserve">https://gisp.gov.ru/nmp/measure/12448141</w:t>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pBdr>
                <w:top w:val="none" w:color="000000" w:sz="4" w:space="0"/>
                <w:left w:val="none" w:color="000000" w:sz="4" w:space="0"/>
                <w:bottom w:val="none" w:color="000000" w:sz="4" w:space="0"/>
                <w:right w:val="none" w:color="000000" w:sz="4" w:space="0"/>
              </w:pBdr>
              <w:spacing w:before="0" w:after="0" w:line="240" w:lineRule="auto"/>
              <w:jc w:val="center"/>
              <w:rPr>
                <w:rFonts w:ascii="Times New Roman" w:hAnsi="Times New Roman" w:cs="Times New Roman"/>
                <w:sz w:val="24"/>
                <w:szCs w:val="24"/>
                <w:highlight w:val="yellow"/>
                <w14:ligatures w14:val="none"/>
              </w:rPr>
            </w:pPr>
            <w:r>
              <w:rPr>
                <w:rFonts w:ascii="Times New Roman" w:hAnsi="Times New Roman" w:cs="Times New Roman"/>
                <w:sz w:val="24"/>
                <w:szCs w:val="24"/>
              </w:rPr>
              <w:t xml:space="preserve">Субсидии на уплату процентов по кредитам, привлеченным в рамках реализации комплексных инвестиционных проектов </w:t>
            </w:r>
            <w:r>
              <w:rPr>
                <w:rFonts w:ascii="Times New Roman" w:hAnsi="Times New Roman" w:cs="Times New Roman"/>
                <w:sz w:val="24"/>
                <w:szCs w:val="24"/>
                <w:highlight w:val="yellow"/>
                <w14:ligatures w14:val="none"/>
              </w:rPr>
            </w:r>
            <w:r>
              <w:rPr>
                <w:rFonts w:ascii="Times New Roman" w:hAnsi="Times New Roman" w:cs="Times New Roman"/>
                <w:sz w:val="24"/>
                <w:szCs w:val="24"/>
                <w:highlight w:val="yellow"/>
                <w14:ligatures w14:val="none"/>
              </w:rPr>
            </w:r>
          </w:p>
          <w:p>
            <w:pPr>
              <w:widowControl w:val="off"/>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r>
            <w:r>
              <w:rPr>
                <w:rFonts w:ascii="Times New Roman" w:hAnsi="Times New Roman" w:cs="Times New Roman"/>
                <w:sz w:val="24"/>
                <w:szCs w:val="24"/>
                <w14:ligatures w14:val="none"/>
              </w:rPr>
            </w:r>
            <w:r>
              <w:rPr>
                <w:rFonts w:ascii="Times New Roman" w:hAnsi="Times New Roman" w:cs="Times New Roman"/>
                <w:sz w:val="24"/>
                <w:szCs w:val="24"/>
                <w14:ligatures w14:val="none"/>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24"/>
                <w:szCs w:val="24"/>
                <w:highlight w:val="none"/>
                <w14:ligatures w14:val="none"/>
              </w:rPr>
            </w:pPr>
            <w:r>
              <w:rPr>
                <w:rFonts w:ascii="Times New Roman" w:hAnsi="Times New Roman" w:cs="Times New Roman"/>
                <w:sz w:val="24"/>
                <w:szCs w:val="24"/>
              </w:rPr>
            </w:r>
            <w:r>
              <w:rPr>
                <w:rFonts w:ascii="Times New Roman" w:hAnsi="Times New Roman" w:cs="Times New Roman"/>
                <w:sz w:val="24"/>
                <w:szCs w:val="24"/>
              </w:rPr>
              <w:t xml:space="preserve">Постановление Правительства РФ от 03.01.2014 № 3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и (или) выплату купонного дохода по облигациям, привл</w:t>
            </w:r>
            <w:r>
              <w:rPr>
                <w:rFonts w:ascii="Times New Roman" w:hAnsi="Times New Roman" w:cs="Times New Roman"/>
                <w:sz w:val="24"/>
                <w:szCs w:val="24"/>
              </w:rPr>
              <w:t xml:space="preserve">еченным в рамках реализации комплексных инвестиционных проектов по приоритетным направлениям гражданской промышленности»</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p>
            <w:pPr>
              <w:widowControl w:val="off"/>
              <w:spacing w:before="0"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Fonts w:ascii="Times New Roman" w:hAnsi="Times New Roman" w:cs="Times New Roman"/>
                <w:sz w:val="12"/>
                <w:szCs w:val="12"/>
                <w14:ligatures w14:val="none"/>
              </w:rPr>
            </w:pPr>
            <w:r>
              <w:rPr>
                <w:rStyle w:val="711"/>
                <w:rFonts w:ascii="Times New Roman" w:hAnsi="Times New Roman" w:cs="Times New Roman"/>
                <w:sz w:val="12"/>
                <w:szCs w:val="12"/>
              </w:rPr>
            </w:r>
            <w:r>
              <w:rPr>
                <w:rStyle w:val="711"/>
                <w:rFonts w:ascii="Times New Roman" w:hAnsi="Times New Roman" w:cs="Times New Roman"/>
                <w:sz w:val="12"/>
                <w:szCs w:val="12"/>
              </w:rPr>
              <w:t xml:space="preserve">https://gisp.gov.ru/nmp/measure/6476161</w:t>
            </w:r>
            <w:r>
              <w:rPr>
                <w:rStyle w:val="711"/>
                <w:rFonts w:ascii="Times New Roman" w:hAnsi="Times New Roman" w:cs="Times New Roman"/>
                <w:sz w:val="12"/>
                <w:szCs w:val="12"/>
                <w14:ligatures w14:val="none"/>
              </w:rPr>
            </w:r>
            <w:r>
              <w:rPr>
                <w:rStyle w:val="711"/>
                <w:rFonts w:ascii="Times New Roman" w:hAnsi="Times New Roman" w:cs="Times New Roman"/>
                <w:sz w:val="12"/>
                <w:szCs w:val="12"/>
                <w14:ligatures w14:val="non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Финансирование проектов от ВЭБ.РФ</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ВЭБ.РФ</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w:t>
            </w:r>
            <w:r>
              <w:rPr>
                <w:rFonts w:ascii="Times New Roman" w:hAnsi="Times New Roman" w:cs="Times New Roman"/>
                <w:sz w:val="24"/>
                <w:szCs w:val="24"/>
                <w:lang w:val="en-US"/>
              </w:rPr>
            </w:r>
            <w:r>
              <w:rPr>
                <w:rFonts w:ascii="Times New Roman" w:hAnsi="Times New Roman" w:cs="Times New Roman"/>
                <w:sz w:val="24"/>
                <w:szCs w:val="24"/>
                <w:lang w:val="en-US"/>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lang w:val="en-US"/>
              </w:rPr>
            </w:pPr>
            <w:hyperlink r:id="rId116" w:tooltip="https://вэб.рф/biznesu/finansirovaniye-proyektov/promyshlennost-vysokikh-peredelov/" w:history="1">
              <w:r>
                <w:rPr>
                  <w:rStyle w:val="711"/>
                  <w:rFonts w:ascii="Times New Roman" w:hAnsi="Times New Roman" w:cs="Times New Roman"/>
                  <w:sz w:val="12"/>
                  <w:szCs w:val="12"/>
                  <w:lang w:val="en-US"/>
                </w:rPr>
                <w:t xml:space="preserve">https://</w:t>
              </w:r>
              <w:r>
                <w:rPr>
                  <w:rStyle w:val="711"/>
                  <w:rFonts w:ascii="Times New Roman" w:hAnsi="Times New Roman" w:cs="Times New Roman"/>
                  <w:sz w:val="12"/>
                  <w:szCs w:val="12"/>
                </w:rPr>
                <w:t xml:space="preserve">вэб</w:t>
              </w:r>
              <w:r>
                <w:rPr>
                  <w:rStyle w:val="711"/>
                  <w:rFonts w:ascii="Times New Roman" w:hAnsi="Times New Roman" w:cs="Times New Roman"/>
                  <w:sz w:val="12"/>
                  <w:szCs w:val="12"/>
                  <w:lang w:val="en-US"/>
                </w:rPr>
                <w:t xml:space="preserve">.</w:t>
              </w:r>
              <w:r>
                <w:rPr>
                  <w:rStyle w:val="711"/>
                  <w:rFonts w:ascii="Times New Roman" w:hAnsi="Times New Roman" w:cs="Times New Roman"/>
                  <w:sz w:val="12"/>
                  <w:szCs w:val="12"/>
                </w:rPr>
                <w:t xml:space="preserve">рф</w:t>
              </w:r>
              <w:r>
                <w:rPr>
                  <w:rStyle w:val="711"/>
                  <w:rFonts w:ascii="Times New Roman" w:hAnsi="Times New Roman" w:cs="Times New Roman"/>
                  <w:sz w:val="12"/>
                  <w:szCs w:val="12"/>
                  <w:lang w:val="en-US"/>
                </w:rPr>
                <w:t xml:space="preserve">/biznesu/finansirovaniye-proyektov/promyshlennost-vysokikh-peredelov/</w:t>
              </w:r>
            </w:hyperlink>
            <w:r>
              <w:rPr>
                <w:rStyle w:val="711"/>
                <w:rFonts w:ascii="Times New Roman" w:hAnsi="Times New Roman" w:cs="Times New Roman"/>
                <w:sz w:val="12"/>
                <w:szCs w:val="12"/>
                <w:lang w:val="en-US"/>
              </w:rPr>
            </w:r>
            <w:r>
              <w:rPr>
                <w:rStyle w:val="711"/>
                <w:rFonts w:ascii="Times New Roman" w:hAnsi="Times New Roman" w:cs="Times New Roman"/>
                <w:sz w:val="12"/>
                <w:szCs w:val="12"/>
                <w:lang w:val="en-US"/>
              </w:rPr>
            </w:r>
          </w:p>
          <w:p>
            <w:pPr>
              <w:pStyle w:val="678"/>
              <w:widowControl w:val="off"/>
              <w:spacing w:before="0" w:after="0" w:line="240" w:lineRule="auto"/>
              <w:jc w:val="center"/>
              <w:rPr>
                <w:rFonts w:ascii="Times New Roman" w:hAnsi="Times New Roman" w:cs="Times New Roman"/>
                <w:sz w:val="12"/>
                <w:szCs w:val="12"/>
                <w:lang w:val="en-US"/>
              </w:rPr>
            </w:pPr>
            <w:hyperlink r:id="rId117" w:tooltip="https://gisp.gov.ru/nmp/measure/9181489" w:history="1">
              <w:r>
                <w:rPr>
                  <w:rStyle w:val="711"/>
                  <w:rFonts w:ascii="Times New Roman" w:hAnsi="Times New Roman" w:cs="Times New Roman"/>
                  <w:sz w:val="12"/>
                  <w:szCs w:val="12"/>
                  <w:lang w:val="en-US"/>
                </w:rPr>
                <w:t xml:space="preserve">https://gisp.gov.ru/nmp/measure/9181489</w:t>
              </w:r>
            </w:hyperlink>
            <w:r>
              <w:rPr>
                <w:rFonts w:ascii="Times New Roman" w:hAnsi="Times New Roman" w:cs="Times New Roman"/>
                <w:sz w:val="12"/>
                <w:szCs w:val="12"/>
                <w:lang w:val="en-US"/>
              </w:rPr>
            </w:r>
            <w:r>
              <w:rPr>
                <w:rFonts w:ascii="Times New Roman" w:hAnsi="Times New Roman" w:cs="Times New Roman"/>
                <w:sz w:val="12"/>
                <w:szCs w:val="12"/>
                <w:lang w:val="en-US"/>
              </w:rPr>
            </w:r>
          </w:p>
          <w:p>
            <w:pPr>
              <w:pStyle w:val="678"/>
              <w:widowControl w:val="off"/>
              <w:spacing w:before="0" w:after="0" w:line="240" w:lineRule="auto"/>
              <w:jc w:val="center"/>
              <w:rPr>
                <w:rFonts w:ascii="Times New Roman" w:hAnsi="Times New Roman" w:cs="Times New Roman"/>
                <w:sz w:val="12"/>
                <w:szCs w:val="12"/>
                <w:lang w:val="en-US"/>
              </w:rPr>
            </w:pPr>
            <w:r>
              <w:rPr>
                <w:rFonts w:ascii="Times New Roman" w:hAnsi="Times New Roman" w:cs="Times New Roman"/>
                <w:sz w:val="12"/>
                <w:szCs w:val="12"/>
                <w:lang w:val="en-US"/>
              </w:rPr>
            </w:r>
            <w:r>
              <w:rPr>
                <w:rFonts w:ascii="Times New Roman" w:hAnsi="Times New Roman" w:cs="Times New Roman"/>
                <w:sz w:val="12"/>
                <w:szCs w:val="12"/>
                <w:lang w:val="en-US"/>
              </w:rPr>
            </w:r>
            <w:r>
              <w:rPr>
                <w:rFonts w:ascii="Times New Roman" w:hAnsi="Times New Roman" w:cs="Times New Roman"/>
                <w:sz w:val="12"/>
                <w:szCs w:val="12"/>
                <w:lang w:val="en-US"/>
              </w:rPr>
            </w:r>
          </w:p>
          <w:p>
            <w:pPr>
              <w:pStyle w:val="678"/>
              <w:widowControl w:val="off"/>
              <w:spacing w:before="0" w:after="0" w:line="240" w:lineRule="auto"/>
              <w:jc w:val="center"/>
              <w:rPr>
                <w:rFonts w:ascii="Times New Roman" w:hAnsi="Times New Roman" w:cs="Times New Roman"/>
                <w:sz w:val="12"/>
                <w:szCs w:val="12"/>
                <w:lang w:val="en-US"/>
              </w:rPr>
            </w:pPr>
            <w:r>
              <w:rPr>
                <w:rFonts w:ascii="Times New Roman" w:hAnsi="Times New Roman" w:cs="Times New Roman"/>
                <w:sz w:val="12"/>
                <w:szCs w:val="12"/>
                <w:lang w:val="en-US"/>
              </w:rPr>
            </w:r>
            <w:r>
              <w:rPr>
                <w:rFonts w:ascii="Times New Roman" w:hAnsi="Times New Roman" w:cs="Times New Roman"/>
                <w:sz w:val="12"/>
                <w:szCs w:val="12"/>
                <w:lang w:val="en-US"/>
              </w:rPr>
            </w:r>
            <w:r>
              <w:rPr>
                <w:rFonts w:ascii="Times New Roman" w:hAnsi="Times New Roman" w:cs="Times New Roman"/>
                <w:sz w:val="12"/>
                <w:szCs w:val="12"/>
                <w:lang w:val="en-US"/>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«Фабрика проектного финансирования», в том числе предоставление поручительств по проектам технологического</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суверенитета и проектам структурной адаптации экономики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Российской Федерации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ВЭБ.РФ</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15.02.2018 № 158 «О программе «Фабрика проектного финансирования»</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18" w:tooltip="https://вэб.рф/biznesu/fabrika-proektnogo-finansirovaniya/" w:history="1">
              <w:r>
                <w:rPr>
                  <w:rStyle w:val="711"/>
                  <w:rFonts w:ascii="Times New Roman" w:hAnsi="Times New Roman" w:cs="Times New Roman"/>
                  <w:sz w:val="12"/>
                  <w:szCs w:val="12"/>
                  <w:lang w:val="en-US"/>
                </w:rPr>
                <w:t xml:space="preserve">https</w:t>
              </w:r>
              <w:r>
                <w:rPr>
                  <w:rStyle w:val="711"/>
                  <w:rFonts w:ascii="Times New Roman" w:hAnsi="Times New Roman" w:cs="Times New Roman"/>
                  <w:sz w:val="12"/>
                  <w:szCs w:val="12"/>
                </w:rPr>
                <w:t xml:space="preserve">://вэб.рф/</w:t>
              </w:r>
              <w:r>
                <w:rPr>
                  <w:rStyle w:val="711"/>
                  <w:rFonts w:ascii="Times New Roman" w:hAnsi="Times New Roman" w:cs="Times New Roman"/>
                  <w:sz w:val="12"/>
                  <w:szCs w:val="12"/>
                  <w:lang w:val="en-US"/>
                </w:rPr>
                <w:t xml:space="preserve">biznesu</w:t>
              </w:r>
              <w:r>
                <w:rPr>
                  <w:rStyle w:val="711"/>
                  <w:rFonts w:ascii="Times New Roman" w:hAnsi="Times New Roman" w:cs="Times New Roman"/>
                  <w:sz w:val="12"/>
                  <w:szCs w:val="12"/>
                </w:rPr>
                <w:t xml:space="preserve">/</w:t>
              </w:r>
              <w:r>
                <w:rPr>
                  <w:rStyle w:val="711"/>
                  <w:rFonts w:ascii="Times New Roman" w:hAnsi="Times New Roman" w:cs="Times New Roman"/>
                  <w:sz w:val="12"/>
                  <w:szCs w:val="12"/>
                  <w:lang w:val="en-US"/>
                </w:rPr>
                <w:t xml:space="preserve">fabrika</w:t>
              </w:r>
              <w:r>
                <w:rPr>
                  <w:rStyle w:val="711"/>
                  <w:rFonts w:ascii="Times New Roman" w:hAnsi="Times New Roman" w:cs="Times New Roman"/>
                  <w:sz w:val="12"/>
                  <w:szCs w:val="12"/>
                </w:rPr>
                <w:t xml:space="preserve">-</w:t>
              </w:r>
              <w:r>
                <w:rPr>
                  <w:rStyle w:val="711"/>
                  <w:rFonts w:ascii="Times New Roman" w:hAnsi="Times New Roman" w:cs="Times New Roman"/>
                  <w:sz w:val="12"/>
                  <w:szCs w:val="12"/>
                  <w:lang w:val="en-US"/>
                </w:rPr>
                <w:t xml:space="preserve">proektnogo</w:t>
              </w:r>
              <w:r>
                <w:rPr>
                  <w:rStyle w:val="711"/>
                  <w:rFonts w:ascii="Times New Roman" w:hAnsi="Times New Roman" w:cs="Times New Roman"/>
                  <w:sz w:val="12"/>
                  <w:szCs w:val="12"/>
                </w:rPr>
                <w:t xml:space="preserve">-</w:t>
              </w:r>
              <w:r>
                <w:rPr>
                  <w:rStyle w:val="711"/>
                  <w:rFonts w:ascii="Times New Roman" w:hAnsi="Times New Roman" w:cs="Times New Roman"/>
                  <w:sz w:val="12"/>
                  <w:szCs w:val="12"/>
                  <w:lang w:val="en-US"/>
                </w:rPr>
                <w:t xml:space="preserve">finansirovaniya</w:t>
              </w:r>
              <w:r>
                <w:rPr>
                  <w:rStyle w:val="711"/>
                  <w:rFonts w:ascii="Times New Roman" w:hAnsi="Times New Roman" w:cs="Times New Roman"/>
                  <w:sz w:val="12"/>
                  <w:szCs w:val="12"/>
                </w:rPr>
                <w:t xml:space="preserve">/</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19" w:tooltip="https://invest.economy.gov.ru/fabrika-proektnogo-finansirovaniya" w:history="1">
              <w:r>
                <w:rPr>
                  <w:rStyle w:val="711"/>
                  <w:rFonts w:ascii="Times New Roman" w:hAnsi="Times New Roman" w:cs="Times New Roman"/>
                  <w:sz w:val="12"/>
                  <w:szCs w:val="12"/>
                </w:rPr>
                <w:t xml:space="preserve">https://invest.economy.gov.ru/fabrika-proektnogo-finansirovaniya</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20" w:tooltip="http://government.ru/news/50346/" w:history="1">
              <w:r>
                <w:rPr>
                  <w:rStyle w:val="711"/>
                  <w:rFonts w:ascii="Times New Roman" w:hAnsi="Times New Roman" w:cs="Times New Roman"/>
                  <w:sz w:val="12"/>
                  <w:szCs w:val="12"/>
                </w:rPr>
                <w:t xml:space="preserve">http://government.ru/news/50346/</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21" w:tooltip="https://gisp.gov.ru/nmp/measure/12446927" w:history="1">
              <w:r>
                <w:rPr>
                  <w:rStyle w:val="711"/>
                  <w:rFonts w:ascii="Times New Roman" w:hAnsi="Times New Roman" w:cs="Times New Roman"/>
                  <w:sz w:val="12"/>
                  <w:szCs w:val="12"/>
                </w:rPr>
                <w:t xml:space="preserve">https://gisp.gov.ru/nmp/measure/12446927</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Льготное кредитование инвестпроектов в моногородах</w:t>
            </w:r>
            <w:r>
              <w:rPr>
                <w:rFonts w:ascii="Times New Roman" w:hAnsi="Times New Roman" w:cs="Times New Roman"/>
                <w:sz w:val="24"/>
                <w:szCs w:val="24"/>
              </w:rPr>
            </w:r>
            <w:r>
              <w:rPr>
                <w:rFonts w:ascii="Times New Roman" w:hAnsi="Times New Roman" w:cs="Times New Roman"/>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ВЭБ.РФ</w:t>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28.12.2021 № 2517 «Об утверждении Правил предоставления субсидии из федерального бюджета в виде имуществе</w:t>
            </w:r>
            <w:r>
              <w:rPr>
                <w:rFonts w:ascii="Times New Roman" w:hAnsi="Times New Roman" w:cs="Times New Roman"/>
                <w:sz w:val="24"/>
                <w:szCs w:val="24"/>
              </w:rPr>
              <w:t xml:space="preserve">нного взноса Российской Федерации в государственную корпорацию развития «ВЭБ.РФ» на реализацию проектов развития монопрофильных муниципальных образований и о внесении изменений в Меморандум о финансовой политике государственной корпорации развития «ВЭБ.РФ»</w:t>
            </w:r>
            <w:r>
              <w:rPr>
                <w:rFonts w:ascii="Times New Roman" w:hAnsi="Times New Roman" w:cs="Times New Roman"/>
                <w:sz w:val="24"/>
                <w:szCs w:val="24"/>
              </w:rPr>
            </w:r>
            <w:r>
              <w:rPr>
                <w:rFonts w:ascii="Times New Roman" w:hAnsi="Times New Roman" w:cs="Times New Roman"/>
                <w:sz w:val="24"/>
                <w:szCs w:val="24"/>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22" w:tooltip="https://вэб.рф/podderzhka-monogorodov/index.php?sphrase_id=2756783" w:history="1">
              <w:r>
                <w:rPr>
                  <w:rStyle w:val="711"/>
                  <w:rFonts w:ascii="Times New Roman" w:hAnsi="Times New Roman" w:cs="Times New Roman"/>
                  <w:sz w:val="12"/>
                  <w:szCs w:val="12"/>
                </w:rPr>
                <w:t xml:space="preserve">https://вэб.рф/podderzhka-monogorodov/index.php?sphrase_id=2756783</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23" w:tooltip="https://invest.economy.gov.ru/lgotnoe-kreditovanie-v-monogorodah/regulations" w:history="1">
              <w:r>
                <w:rPr>
                  <w:rStyle w:val="711"/>
                  <w:rFonts w:ascii="Times New Roman" w:hAnsi="Times New Roman" w:cs="Times New Roman"/>
                  <w:sz w:val="12"/>
                  <w:szCs w:val="12"/>
                </w:rPr>
                <w:t xml:space="preserve">https://invest.economy.gov.ru/lgotnoe-kreditovanie-v-monogorodah/regulations</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24" w:tooltip="https://gisp.gov.ru/nmp/measure/12448072" w:history="1">
              <w:r>
                <w:rPr>
                  <w:rStyle w:val="711"/>
                  <w:rFonts w:ascii="Times New Roman" w:hAnsi="Times New Roman" w:cs="Times New Roman"/>
                  <w:sz w:val="12"/>
                  <w:szCs w:val="12"/>
                </w:rPr>
                <w:t xml:space="preserve">https://gisp.gov.ru/nmp/measure/12448072</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Соглашения о защите и поощрении капиталовложений</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Федеральный закон от 01.04.2020 № 69-ФЗ «О защите и поощрении капиталовложений в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13.09.2022 № 1602 «О соглашениях о защите и поощрении капиталовложений»</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25" w:tooltip="http://government.ru/news/46511/" w:history="1">
              <w:r>
                <w:rPr>
                  <w:rStyle w:val="711"/>
                  <w:rFonts w:ascii="Times New Roman" w:hAnsi="Times New Roman" w:cs="Times New Roman"/>
                  <w:sz w:val="12"/>
                  <w:szCs w:val="12"/>
                </w:rPr>
                <w:t xml:space="preserve">http://government.ru/news/46511/</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Style w:val="711"/>
                <w:rFonts w:ascii="Times New Roman" w:hAnsi="Times New Roman" w:cs="Times New Roman"/>
                <w:sz w:val="12"/>
                <w:szCs w:val="12"/>
              </w:rPr>
            </w:pPr>
            <w:hyperlink r:id="rId126" w:tooltip="https://invest.economy.gov.ru/soglashenie-o-zashchite-i-pooshchrenii-kapitalovlozhenij" w:history="1">
              <w:r>
                <w:rPr>
                  <w:rStyle w:val="711"/>
                  <w:rFonts w:ascii="Times New Roman" w:hAnsi="Times New Roman" w:cs="Times New Roman"/>
                  <w:sz w:val="12"/>
                  <w:szCs w:val="12"/>
                </w:rPr>
                <w:t xml:space="preserve">https://invest.economy.gov.ru/soglashenie-o-zashchite-i-pooshchrenii-kapitalovlozhenij</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27" w:tooltip="https://gisp.gov.ru/nmp/measure/12447926" w:history="1">
              <w:r>
                <w:rPr>
                  <w:rStyle w:val="711"/>
                  <w:rFonts w:ascii="Times New Roman" w:hAnsi="Times New Roman" w:cs="Times New Roman"/>
                  <w:sz w:val="12"/>
                  <w:szCs w:val="12"/>
                </w:rPr>
                <w:t xml:space="preserve">https://gisp.gov.ru/nmp/measure/12447926</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highlight w:val="white"/>
                <w:shd w:val="clear" w:color="auto" w:fill="dde8cb"/>
              </w:rPr>
            </w:pPr>
            <w:r>
              <w:rPr>
                <w:rFonts w:ascii="Times New Roman" w:hAnsi="Times New Roman" w:cs="Times New Roman"/>
                <w:sz w:val="24"/>
                <w:szCs w:val="24"/>
                <w:highlight w:val="white"/>
                <w:shd w:val="clear" w:color="auto" w:fill="dde8cb"/>
              </w:rPr>
              <w:t xml:space="preserve">Льготы ОЭЗ,</w:t>
            </w:r>
            <w:r>
              <w:rPr>
                <w:highlight w:val="white"/>
                <w:shd w:val="clear" w:color="auto" w:fill="dde8cb"/>
              </w:rPr>
            </w:r>
            <w:r>
              <w:rPr>
                <w:highlight w:val="white"/>
                <w:shd w:val="clear" w:color="auto" w:fill="dde8cb"/>
              </w:rPr>
            </w:r>
          </w:p>
          <w:p>
            <w:pPr>
              <w:pStyle w:val="678"/>
              <w:widowControl w:val="off"/>
              <w:spacing w:before="0" w:after="0" w:line="240" w:lineRule="auto"/>
              <w:jc w:val="center"/>
              <w:rPr>
                <w:highlight w:val="white"/>
                <w:shd w:val="clear" w:color="auto" w:fill="dde8cb"/>
              </w:rPr>
            </w:pPr>
            <w:r>
              <w:rPr>
                <w:rFonts w:ascii="Times New Roman" w:hAnsi="Times New Roman" w:cs="Times New Roman"/>
                <w:sz w:val="24"/>
                <w:szCs w:val="24"/>
                <w:highlight w:val="white"/>
                <w:shd w:val="clear" w:color="auto" w:fill="dde8cb"/>
              </w:rPr>
              <w:t xml:space="preserve">льготы ТОР</w:t>
            </w:r>
            <w:r>
              <w:rPr>
                <w:highlight w:val="white"/>
                <w:shd w:val="clear" w:color="auto" w:fill="dde8cb"/>
              </w:rPr>
            </w:r>
            <w:r>
              <w:rPr>
                <w:highlight w:val="white"/>
                <w:shd w:val="clear" w:color="auto" w:fill="dde8cb"/>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Федеральный закон от 22.07.2005 № 116-ФЗ «Об особых экономических зонах в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widowControl w:val="off"/>
              <w:spacing w:before="0" w:after="0" w:line="240" w:lineRule="auto"/>
              <w:jc w:val="center"/>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lang w:val="ru-RU" w:eastAsia="en-US" w:bidi="ar-SA"/>
              </w:rPr>
              <w:t xml:space="preserve">Федеральный закон от 29.12.2014 № 473-ФЗ </w:t>
              <w:br/>
              <w:t xml:space="preserve">«О территориях опережающего развития в Российской Федерации»</w:t>
            </w:r>
            <w:r>
              <w:rPr>
                <w:rFonts w:ascii="Times New Roman" w:hAnsi="Times New Roman" w:cs="Times New Roman"/>
                <w:sz w:val="24"/>
                <w:szCs w:val="24"/>
                <w:highlight w:val="white"/>
                <w14:ligatures w14:val="none"/>
              </w:rPr>
            </w:r>
            <w:r>
              <w:rPr>
                <w:rFonts w:ascii="Times New Roman" w:hAnsi="Times New Roman" w:cs="Times New Roman"/>
                <w:sz w:val="24"/>
                <w:szCs w:val="24"/>
                <w:highlight w:val="white"/>
                <w14:ligatures w14:val="none"/>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28" w:tooltip="https://invest.economy.gov.ru/osobye-ehkonomicheskie-zony?query=&amp;supportType=4&amp;limit=8&amp;offset=0" w:history="1">
              <w:r>
                <w:rPr>
                  <w:rStyle w:val="711"/>
                  <w:rFonts w:ascii="Times New Roman" w:hAnsi="Times New Roman" w:cs="Times New Roman"/>
                  <w:sz w:val="12"/>
                  <w:szCs w:val="12"/>
                </w:rPr>
                <w:t xml:space="preserve">https://invest.economy.gov.ru/osobye-ehkonomicheskie-zony?query=&amp;supportType=4&amp;limit=8&amp;offset=0</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29" w:tooltip="https://alabuga.ru/ru/" w:history="1">
              <w:r>
                <w:rPr>
                  <w:rStyle w:val="711"/>
                  <w:rFonts w:ascii="Times New Roman" w:hAnsi="Times New Roman" w:cs="Times New Roman"/>
                  <w:sz w:val="12"/>
                  <w:szCs w:val="12"/>
                </w:rPr>
                <w:t xml:space="preserve">https://alabuga.ru/ru/</w:t>
              </w:r>
            </w:hyperlink>
            <w:r>
              <w:rPr>
                <w:rFonts w:ascii="Times New Roman" w:hAnsi="Times New Roman" w:cs="Times New Roman"/>
                <w:sz w:val="12"/>
                <w:szCs w:val="12"/>
              </w:rPr>
              <w:t xml:space="preserve"> </w:t>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30" w:tooltip="https://sez-innopolis.ru/" w:history="1">
              <w:r>
                <w:rPr>
                  <w:rStyle w:val="711"/>
                  <w:rFonts w:ascii="Times New Roman" w:hAnsi="Times New Roman" w:cs="Times New Roman"/>
                  <w:sz w:val="12"/>
                  <w:szCs w:val="12"/>
                </w:rPr>
                <w:t xml:space="preserve">https://sez-innopolis.ru/</w:t>
              </w:r>
            </w:hyperlink>
            <w:r>
              <w:rPr>
                <w:rFonts w:ascii="Times New Roman" w:hAnsi="Times New Roman" w:cs="Times New Roman"/>
                <w:sz w:val="12"/>
                <w:szCs w:val="12"/>
              </w:rPr>
              <w:t xml:space="preserve"> </w:t>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w:history="1">
              <w:r>
                <w:rPr>
                  <w:rStyle w:val="711"/>
                  <w:rFonts w:ascii="Times New Roman" w:hAnsi="Times New Roman" w:cs="Times New Roman"/>
                  <w:sz w:val="12"/>
                  <w:szCs w:val="12"/>
                </w:rPr>
                <w:t xml:space="preserve">https://nabchelny.ru/company/1445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w:history="1">
              <w:r>
                <w:rPr>
                  <w:rStyle w:val="711"/>
                  <w:rFonts w:ascii="Times New Roman" w:hAnsi="Times New Roman" w:cs="Times New Roman"/>
                  <w:sz w:val="12"/>
                  <w:szCs w:val="12"/>
                </w:rPr>
                <w:t xml:space="preserve">https://e-nkama.ru/raion/toinvestors/toser-nizhnekamsk/?clear_cache=Y</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w:history="1">
              <w:r>
                <w:rPr>
                  <w:rStyle w:val="711"/>
                  <w:rFonts w:ascii="Times New Roman" w:hAnsi="Times New Roman" w:cs="Times New Roman"/>
                  <w:sz w:val="12"/>
                  <w:szCs w:val="12"/>
                </w:rPr>
                <w:t xml:space="preserve">https://zelenodolsk.tatarstan.ru/toser.htm</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w:history="1">
              <w:r>
                <w:rPr>
                  <w:rStyle w:val="711"/>
                  <w:rFonts w:ascii="Times New Roman" w:hAnsi="Times New Roman" w:cs="Times New Roman"/>
                  <w:sz w:val="12"/>
                  <w:szCs w:val="12"/>
                </w:rPr>
                <w:t xml:space="preserve">https://chistopol.tatarstan.ru/toser-chistopol.htm</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w:history="1">
              <w:r>
                <w:rPr>
                  <w:rStyle w:val="711"/>
                  <w:rFonts w:ascii="Times New Roman" w:hAnsi="Times New Roman" w:cs="Times New Roman"/>
                  <w:sz w:val="12"/>
                  <w:szCs w:val="12"/>
                </w:rPr>
                <w:t xml:space="preserve">https://mendeleevsk.tatarstan.ru/o-toser-mendeleevsk.htm</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Программа финансирования инвестиционных проектов для развития внутреннего и въездного туризма</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экономического развития РФ о порядке предоставления субсидии № 23-61781-01201-Р от 01.03.2024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r>
              <w:rPr>
                <w:rStyle w:val="711"/>
                <w:rFonts w:ascii="Times New Roman" w:hAnsi="Times New Roman" w:cs="Times New Roman"/>
                <w:sz w:val="12"/>
                <w:szCs w:val="12"/>
              </w:rPr>
              <w:t xml:space="preserve">https://gisp.gov.ru/nmp/measure/12448563</w:t>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Программа льготного кредитования инвестиционных проектов по развитию горнолыжных курортов</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экономического развития РФ о порядке предоставления субсидии  № 24-61782-01615-Р </w:t>
            </w:r>
            <w:r>
              <w:rPr>
                <w:rFonts w:ascii="Times New Roman" w:hAnsi="Times New Roman" w:cs="Times New Roman"/>
                <w:sz w:val="24"/>
                <w:szCs w:val="24"/>
              </w:rPr>
              <w:t xml:space="preserve">от 28.02.2024 </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pPr>
            <w:hyperlink r:id="rId131" w:tooltip="https://gisp.gov.ru/nmp/measure/12448564" w:history="1">
              <w:r>
                <w:rPr>
                  <w:rStyle w:val="711"/>
                  <w:rFonts w:ascii="Times New Roman" w:hAnsi="Times New Roman" w:cs="Times New Roman"/>
                  <w:sz w:val="12"/>
                  <w:szCs w:val="12"/>
                </w:rPr>
                <w:t xml:space="preserve">https://gisp.gov.ru/nmp/measure/12448564</w:t>
              </w:r>
            </w:hyperlink>
          </w:p>
          <w:p>
            <w:pPr>
              <w:pStyle w:val="678"/>
              <w:widowControl w:val="off"/>
              <w:spacing w:before="0" w:after="0" w:line="240" w:lineRule="auto"/>
              <w:jc w:val="center"/>
              <w:rPr>
                <w:rFonts w:ascii="Times New Roman" w:hAnsi="Times New Roman" w:cs="Times New Roman"/>
                <w:color w:val="c9211e"/>
                <w:sz w:val="12"/>
                <w:szCs w:val="12"/>
                <w:shd w:val="clear" w:color="auto" w:fill="ffffff"/>
              </w:rPr>
            </w:pPr>
            <w:r>
              <w:rPr>
                <w:rFonts w:ascii="Times New Roman" w:hAnsi="Times New Roman" w:cs="Times New Roman"/>
                <w:color w:val="c9211e"/>
                <w:sz w:val="12"/>
                <w:szCs w:val="12"/>
                <w:shd w:val="clear" w:color="auto" w:fill="ffffff"/>
              </w:rPr>
            </w:r>
            <w:r>
              <w:rPr>
                <w:rFonts w:ascii="Times New Roman" w:hAnsi="Times New Roman" w:cs="Times New Roman"/>
                <w:color w:val="c9211e"/>
                <w:sz w:val="12"/>
                <w:szCs w:val="12"/>
                <w:shd w:val="clear" w:color="auto" w:fill="ffffff"/>
              </w:rPr>
            </w:r>
            <w:r>
              <w:rPr>
                <w:rFonts w:ascii="Times New Roman" w:hAnsi="Times New Roman" w:cs="Times New Roman"/>
                <w:color w:val="c9211e"/>
                <w:sz w:val="12"/>
                <w:szCs w:val="12"/>
                <w:shd w:val="clear" w:color="auto" w:fill="ffffff"/>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Инвестирование в объекты инфраструктуры</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Минфин</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19.10.2020 № 1704 «Об утверждении Правил определения новых инвестиционных проектов, в целях реализации которых средства бюджета субъекта Российской Федерац</w:t>
            </w:r>
            <w:r>
              <w:rPr>
                <w:rFonts w:ascii="Times New Roman" w:hAnsi="Times New Roman" w:cs="Times New Roman"/>
                <w:sz w:val="24"/>
                <w:szCs w:val="24"/>
              </w:rPr>
              <w:t xml:space="preserve">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w:t>
            </w:r>
            <w:r>
              <w:rPr>
                <w:rFonts w:ascii="Times New Roman" w:hAnsi="Times New Roman" w:cs="Times New Roman"/>
                <w:sz w:val="24"/>
                <w:szCs w:val="24"/>
              </w:rPr>
              <w:t xml:space="preserve">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32" w:tooltip="http://government.ru/docs/all/130525/" w:history="1">
              <w:r>
                <w:rPr>
                  <w:rStyle w:val="711"/>
                  <w:rFonts w:ascii="Times New Roman" w:hAnsi="Times New Roman" w:cs="Times New Roman"/>
                  <w:sz w:val="12"/>
                  <w:szCs w:val="12"/>
                </w:rPr>
                <w:t xml:space="preserve">http://government.ru/docs/all/130525/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33" w:tooltip="https://invest.economy.gov.ru/novye-investicionnye-proekty-programma-1704-" w:history="1">
              <w:r>
                <w:rPr>
                  <w:rStyle w:val="711"/>
                  <w:rFonts w:ascii="Times New Roman" w:hAnsi="Times New Roman" w:cs="Times New Roman"/>
                  <w:sz w:val="12"/>
                  <w:szCs w:val="12"/>
                </w:rPr>
                <w:t xml:space="preserve">https://invest.economy.gov.ru/novye-investicionnye-proekty-programma-1704-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Инвести</w:t>
            </w:r>
            <w:r>
              <w:rPr>
                <w:rFonts w:ascii="Times New Roman" w:hAnsi="Times New Roman" w:cs="Times New Roman"/>
                <w:sz w:val="24"/>
                <w:szCs w:val="24"/>
              </w:rPr>
              <w:t xml:space="preserve">ционная тарифная льгота (поддержка реализации инвестпроектов, использующих высокотехнологичное оборудование (комплектующие и части), а также сырьё и материалы, в приоритетных отраслях экономики за счёт освобождения таких товаров от уплаты импортных пошлин)</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09.05.2022 № 839 «О порядке предоставления тарифн</w:t>
            </w:r>
            <w:r>
              <w:rPr>
                <w:rFonts w:ascii="Times New Roman" w:hAnsi="Times New Roman" w:cs="Times New Roman"/>
                <w:sz w:val="24"/>
                <w:szCs w:val="24"/>
              </w:rPr>
              <w:t xml:space="preserve">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w:t>
            </w:r>
            <w:r>
              <w:rPr>
                <w:rFonts w:ascii="Times New Roman" w:hAnsi="Times New Roman" w:cs="Times New Roman"/>
                <w:sz w:val="24"/>
                <w:szCs w:val="24"/>
              </w:rPr>
              <w:t xml:space="preserve">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обеспечения исполнения обязанности по уплате таможенных пошлин в отношении указанных товаров»</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134" w:tooltip="https://invest.economy.gov.ru/investicionnaya-tarifnaya-lgota" w:history="1">
              <w:r>
                <w:rPr>
                  <w:rStyle w:val="711"/>
                  <w:rFonts w:ascii="Times New Roman" w:hAnsi="Times New Roman" w:cs="Times New Roman"/>
                  <w:sz w:val="12"/>
                  <w:szCs w:val="12"/>
                </w:rPr>
                <w:t xml:space="preserve">https://invest.economy.gov.ru/investicionnaya-tarifnaya-lgota</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35" w:tooltip="https://gisp.gov.ru/nmp/measure/12448516" w:history="1">
              <w:r>
                <w:rPr>
                  <w:rStyle w:val="711"/>
                  <w:rFonts w:ascii="Times New Roman" w:hAnsi="Times New Roman" w:cs="Times New Roman"/>
                  <w:sz w:val="12"/>
                  <w:szCs w:val="12"/>
                </w:rPr>
                <w:t xml:space="preserve">https://gisp.gov.ru/nmp/measure/12448516</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Программа «Проектные</w:t>
            </w:r>
            <w:r>
              <w:rPr>
                <w:rFonts w:ascii="Times New Roman" w:hAnsi="Times New Roman" w:cs="Times New Roman"/>
                <w:sz w:val="24"/>
                <w:szCs w:val="24"/>
              </w:rPr>
              <w:t xml:space="preserve"> инвестиции» (финансовая поддержка инвестиционных проектов, реализуемых на основе проектного финансирования организациями оборонно-промышленного комплекса (далее – ОПК) по приоритетным направлениям, в форме проектных инвестиций, предоставляемых оператором)</w:t>
            </w:r>
            <w:r>
              <w:rPr>
                <w:rFonts w:ascii="Times New Roman" w:hAnsi="Times New Roman" w:cs="Times New Roman"/>
                <w:sz w:val="24"/>
                <w:szCs w:val="24"/>
              </w:rPr>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«Агентство по технологическому развитию»</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субсидий № 24-60991-01278-Р </w:t>
            </w:r>
            <w:r>
              <w:rPr>
                <w:rFonts w:ascii="Times New Roman" w:hAnsi="Times New Roman" w:cs="Times New Roman"/>
                <w:sz w:val="24"/>
                <w:szCs w:val="24"/>
              </w:rPr>
              <w:t xml:space="preserve">от 16.05.2024 </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36" w:tooltip="https://gisp.gov.ru/nmp/measure/12448625" w:history="1">
              <w:r>
                <w:rPr>
                  <w:rStyle w:val="711"/>
                  <w:rFonts w:ascii="Times New Roman" w:hAnsi="Times New Roman" w:cs="Times New Roman"/>
                  <w:sz w:val="12"/>
                  <w:szCs w:val="12"/>
                </w:rPr>
                <w:t xml:space="preserve">https://gisp.gov.ru/nmp/measure/12448625</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pP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Льготное кредитование (для сельскохозяйственных товаропроизводителей, организаций и ИП, осуществляющих производство, переработку и (или) реализацию сельскохозяйственной продукции)</w:t>
            </w:r>
            <w:r>
              <w:rPr>
                <w:rFonts w:ascii="Times New Roman" w:hAnsi="Times New Roman" w:cs="Times New Roman"/>
                <w:sz w:val="24"/>
                <w:szCs w:val="24"/>
              </w:rPr>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Постановление Правительства РФ от 29.12.2016 № 1528 «Об утверждении Правил предоставления из федерального бюджета с</w:t>
            </w:r>
            <w:r>
              <w:rPr>
                <w:rFonts w:ascii="Times New Roman" w:hAnsi="Times New Roman" w:cs="Times New Roman"/>
                <w:sz w:val="24"/>
                <w:szCs w:val="24"/>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cs="Times New Roman"/>
                <w:sz w:val="24"/>
                <w:szCs w:val="24"/>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rPr>
              <w:t xml:space="preserve">Решение Министерства сельского хозяйства РФ о порядке предоставления субсидии</w:t>
            </w:r>
            <w:r>
              <w:rPr>
                <w:rFonts w:ascii="Times New Roman" w:hAnsi="Times New Roman" w:cs="Times New Roman"/>
                <w:sz w:val="24"/>
                <w:szCs w:val="24"/>
                <w:highlight w:val="none"/>
              </w:rPr>
              <w:t xml:space="preserve"> №25-66428-01969-Р от 12.12.2024</w:t>
            </w:r>
            <w:r>
              <w:rPr>
                <w:rFonts w:ascii="Times New Roman" w:hAnsi="Times New Roman" w:cs="Times New Roman"/>
                <w:sz w:val="24"/>
                <w:szCs w:val="24"/>
              </w:rPr>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Style w:val="711"/>
                <w:rFonts w:ascii="Times New Roman" w:hAnsi="Times New Roman" w:cs="Times New Roman"/>
                <w:sz w:val="12"/>
                <w:szCs w:val="12"/>
              </w:rPr>
            </w:pPr>
            <w:hyperlink r:id="rId137" w:tooltip="https://mcx.gov.ru/activity/state-support/measures/preferential-credit/" w:history="1">
              <w:r>
                <w:rPr>
                  <w:rStyle w:val="711"/>
                  <w:rFonts w:ascii="Times New Roman" w:hAnsi="Times New Roman" w:cs="Times New Roman"/>
                  <w:sz w:val="12"/>
                  <w:szCs w:val="12"/>
                </w:rPr>
                <w:t xml:space="preserve">https://mcx.gov.ru/activity/state-support/measures/preferential-credit/</w:t>
              </w:r>
            </w:hyperlink>
            <w:r>
              <w:rPr>
                <w:rStyle w:val="711"/>
                <w:rFonts w:ascii="Times New Roman" w:hAnsi="Times New Roman" w:cs="Times New Roman"/>
                <w:sz w:val="12"/>
                <w:szCs w:val="12"/>
              </w:rPr>
            </w:r>
            <w:r>
              <w:rPr>
                <w:rStyle w:val="711"/>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hyperlink r:id="rId138" w:tooltip="https://gisp.gov.ru/nmp/measure/9564204" w:history="1">
              <w:r>
                <w:rPr>
                  <w:rStyle w:val="711"/>
                  <w:rFonts w:ascii="Times New Roman" w:hAnsi="Times New Roman" w:cs="Times New Roman"/>
                  <w:sz w:val="12"/>
                  <w:szCs w:val="12"/>
                </w:rPr>
                <w:t xml:space="preserve">https://gisp.gov.ru/nmp/measure/9564204</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Льготное кредитование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w:t>
            </w:r>
            <w:r>
              <w:rPr>
                <w:rFonts w:ascii="Times New Roman" w:hAnsi="Times New Roman" w:cs="Times New Roman"/>
                <w:sz w:val="24"/>
                <w:szCs w:val="24"/>
              </w:rPr>
              <w:t xml:space="preserve">елям (за исключением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сельского хозяйства РФ о порядке предоставления субсидии № 25-68850-01698-Р</w:t>
            </w:r>
            <w:r>
              <w:rPr>
                <w:rFonts w:ascii="Times New Roman" w:hAnsi="Times New Roman" w:cs="Times New Roman"/>
                <w:sz w:val="24"/>
                <w:szCs w:val="24"/>
              </w:rPr>
            </w:r>
            <w:r>
              <w:rPr>
                <w:rFonts w:ascii="Times New Roman" w:hAnsi="Times New Roman" w:cs="Times New Roman"/>
                <w:sz w:val="24"/>
                <w:szCs w:val="24"/>
              </w:rPr>
            </w:r>
          </w:p>
          <w:p>
            <w:pPr>
              <w:pStyle w:val="678"/>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от 11.12.2024</w:t>
            </w:r>
            <w:r>
              <w:rPr>
                <w:rFonts w:ascii="Times New Roman" w:hAnsi="Times New Roman" w:cs="Times New Roman"/>
                <w:sz w:val="24"/>
                <w:szCs w:val="24"/>
              </w:rPr>
            </w:r>
            <w:r>
              <w:rPr>
                <w:rFonts w:ascii="Times New Roman" w:hAnsi="Times New Roman" w:cs="Times New Roman"/>
                <w:sz w:val="24"/>
                <w:szCs w:val="24"/>
              </w:rPr>
            </w:r>
          </w:p>
        </w:tc>
        <w:tc>
          <w:tcPr>
            <w:tcW w:w="7101" w:type="dxa"/>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sz w:val="12"/>
                <w:szCs w:val="12"/>
              </w:rPr>
            </w:pPr>
            <w:hyperlink r:id="rId139" w:tooltip="https://mcx.gov.ru/ministry/departments/departament-ekonomiki-i-gosydarstvennoy-podderzhki-apk/industry-information/info-lgotnoe-kreditovanie-po-spk/" w:history="1">
              <w:r>
                <w:rPr>
                  <w:rStyle w:val="711"/>
                  <w:rFonts w:ascii="Times New Roman" w:hAnsi="Times New Roman" w:cs="Times New Roman"/>
                  <w:sz w:val="12"/>
                  <w:szCs w:val="12"/>
                </w:rPr>
                <w:t xml:space="preserve">https://mcx.gov.ru/ministry/departments/departament-ekonomiki-i-gosydarstvennoy-podderzhki-apk/industry-information/info-lgotnoe-kreditovanie-po-spk/</w:t>
              </w:r>
            </w:hyperlink>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p>
            <w:pPr>
              <w:pStyle w:val="678"/>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r>
              <w:rPr>
                <w:rFonts w:ascii="Times New Roman" w:hAnsi="Times New Roman" w:cs="Times New Roman"/>
                <w:sz w:val="12"/>
                <w:szCs w:val="12"/>
              </w:rPr>
            </w:r>
          </w:p>
        </w:tc>
      </w:tr>
      <w:tr>
        <w:trPr/>
        <w:tblPrEx/>
        <w:tc>
          <w:tcPr>
            <w:tcW w:w="15127" w:type="dxa"/>
            <w:gridSpan w:val="4"/>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678"/>
              <w:widowControl w:val="off"/>
              <w:spacing w:before="0" w:after="0" w:line="240" w:lineRule="auto"/>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white"/>
              </w:rPr>
              <w:t xml:space="preserve">3</w:t>
            </w:r>
            <w:r>
              <w:rPr>
                <w:rFonts w:ascii="Times New Roman" w:hAnsi="Times New Roman" w:cs="Times New Roman"/>
                <w:b/>
                <w:bCs/>
                <w:sz w:val="24"/>
                <w:szCs w:val="24"/>
                <w:highlight w:val="white"/>
              </w:rPr>
              <w:t xml:space="preserve">. Меры поддержки по обеспечению кадровой потребности</w:t>
            </w:r>
            <w:r>
              <w:rPr>
                <w:rFonts w:ascii="Times New Roman" w:hAnsi="Times New Roman" w:cs="Times New Roman"/>
                <w:b/>
                <w:bCs/>
                <w:sz w:val="24"/>
                <w:szCs w:val="24"/>
                <w:highlight w:val="white"/>
              </w:rPr>
            </w:r>
            <w:r>
              <w:rPr>
                <w:rFonts w:ascii="Times New Roman" w:hAnsi="Times New Roman" w:cs="Times New Roman"/>
                <w:b/>
                <w:bCs/>
                <w:sz w:val="24"/>
                <w:szCs w:val="24"/>
                <w:highlight w:val="none"/>
              </w:rPr>
            </w:r>
          </w:p>
          <w:p>
            <w:pPr>
              <w:widowControl w:val="off"/>
              <w:spacing w:before="0"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Организация профессионального обучения и дополнительного профессиона</w:t>
            </w:r>
            <w:r>
              <w:rPr>
                <w:rFonts w:ascii="Times New Roman" w:hAnsi="Times New Roman" w:cs="Times New Roman"/>
                <w:sz w:val="24"/>
                <w:szCs w:val="24"/>
              </w:rPr>
              <w:t xml:space="preserve">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Pr>
                <w:rFonts w:ascii="Times New Roman" w:hAnsi="Times New Roman" w:cs="Times New Roman"/>
                <w:sz w:val="24"/>
                <w:szCs w:val="24"/>
              </w:rPr>
            </w:r>
            <w:r>
              <w:rPr>
                <w:rFonts w:ascii="Times New Roman" w:hAnsi="Times New Roman" w:cs="Times New Roman"/>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Минтруд Республики Татарстан </w:t>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w:t>
            </w:r>
            <w:r>
              <w:rPr>
                <w:rFonts w:ascii="Times New Roman" w:hAnsi="Times New Roman" w:cs="Times New Roman"/>
                <w:sz w:val="24"/>
                <w:szCs w:val="24"/>
              </w:rPr>
              <w:t xml:space="preserve">30.11.2024</w:t>
            </w:r>
            <w:r>
              <w:rPr>
                <w:rFonts w:ascii="Times New Roman" w:hAnsi="Times New Roman" w:cs="Times New Roman"/>
                <w:sz w:val="24"/>
                <w:szCs w:val="24"/>
              </w:rPr>
              <w:t xml:space="preserve"> № </w:t>
            </w:r>
            <w:r>
              <w:rPr>
                <w:rFonts w:ascii="Times New Roman" w:hAnsi="Times New Roman" w:cs="Times New Roman"/>
                <w:sz w:val="24"/>
                <w:szCs w:val="24"/>
              </w:rPr>
              <w:t xml:space="preserve">1695</w:t>
            </w:r>
            <w:r>
              <w:rPr>
                <w:rFonts w:ascii="Times New Roman" w:hAnsi="Times New Roman" w:cs="Times New Roman"/>
                <w:sz w:val="24"/>
                <w:szCs w:val="24"/>
              </w:rPr>
              <w:t xml:space="preserve"> «</w:t>
            </w:r>
            <w:r>
              <w:rPr>
                <w:rFonts w:ascii="Times New Roman" w:hAnsi="Times New Roman" w:cs="Times New Roman"/>
                <w:sz w:val="24"/>
                <w:szCs w:val="24"/>
              </w:rPr>
              <w:t xml:space="preserve">О внесении изменений в постановление Правительства Российской Федерации от 15 апреля 2014 г. № 298</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Style w:val="711"/>
                <w:rFonts w:ascii="Times New Roman" w:hAnsi="Times New Roman" w:cs="Times New Roman"/>
                <w:sz w:val="12"/>
                <w:szCs w:val="12"/>
                <w14:ligatures w14:val="none"/>
              </w:rPr>
            </w:pPr>
            <w:r>
              <w:rPr>
                <w:rStyle w:val="711"/>
                <w:rFonts w:ascii="Times New Roman" w:hAnsi="Times New Roman" w:cs="Times New Roman"/>
                <w:sz w:val="12"/>
                <w:szCs w:val="12"/>
              </w:rPr>
            </w:r>
            <w:r>
              <w:rPr>
                <w:rStyle w:val="711"/>
                <w:rFonts w:ascii="Times New Roman" w:hAnsi="Times New Roman" w:cs="Times New Roman"/>
                <w:sz w:val="12"/>
                <w:szCs w:val="12"/>
              </w:rPr>
            </w:r>
            <w:hyperlink r:id="rId140" w:tooltip="https://mtsz.tatarstan.ru/zakonodatelnie-akti-rf.htm?pub_id=4461544" w:history="1">
              <w:r>
                <w:rPr>
                  <w:rStyle w:val="711"/>
                  <w:rFonts w:ascii="Times New Roman" w:hAnsi="Times New Roman" w:cs="Times New Roman"/>
                  <w:sz w:val="12"/>
                  <w:szCs w:val="12"/>
                </w:rPr>
                <w:t xml:space="preserve">https://mtsz.tatarstan.ru/zakonodatelnie-akti-rf.htm?pub_id=4461544</w:t>
              </w:r>
              <w:r>
                <w:rPr>
                  <w:rStyle w:val="711"/>
                  <w:rFonts w:ascii="Times New Roman" w:hAnsi="Times New Roman" w:cs="Times New Roman"/>
                  <w:sz w:val="12"/>
                  <w:szCs w:val="12"/>
                </w:rPr>
              </w:r>
              <w:r>
                <w:rPr>
                  <w:rStyle w:val="711"/>
                  <w:rFonts w:ascii="Times New Roman" w:hAnsi="Times New Roman" w:cs="Times New Roman"/>
                  <w:sz w:val="12"/>
                  <w:szCs w:val="12"/>
                </w:rPr>
              </w:r>
              <w:r>
                <w:rPr>
                  <w:rStyle w:val="711"/>
                  <w:rFonts w:ascii="Times New Roman" w:hAnsi="Times New Roman" w:cs="Times New Roman"/>
                  <w:sz w:val="12"/>
                  <w:szCs w:val="12"/>
                </w:rPr>
              </w:r>
            </w:hyperlink>
            <w:r>
              <w:rPr>
                <w:rStyle w:val="711"/>
                <w:rFonts w:ascii="Times New Roman" w:hAnsi="Times New Roman" w:cs="Times New Roman"/>
                <w:sz w:val="12"/>
                <w:szCs w:val="12"/>
                <w14:ligatures w14:val="none"/>
              </w:rPr>
            </w:r>
            <w:r>
              <w:rPr>
                <w:rStyle w:val="711"/>
                <w:rFonts w:ascii="Times New Roman" w:hAnsi="Times New Roman" w:cs="Times New Roman"/>
                <w:sz w:val="12"/>
                <w:szCs w:val="12"/>
                <w14:ligatures w14:val="none"/>
              </w:rPr>
            </w:r>
          </w:p>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Государственная поддержка юридическим лицам, включая некоммерческие организации, и ИП в целях стимулирования занятости отдельных категорий граждан</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возмещение работодателям расходов на частичную оплату труда принимаемых работников следующих категорий: граждане, испытывающие трудности </w:t>
            </w:r>
            <w:r>
              <w:rPr>
                <w:rFonts w:ascii="Times New Roman" w:hAnsi="Times New Roman" w:cs="Times New Roman"/>
                <w:i w:val="0"/>
                <w:iCs w:val="0"/>
                <w:sz w:val="24"/>
                <w:szCs w:val="24"/>
              </w:rPr>
              <w:t xml:space="preserve">в поиске работы,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а также лица, </w:t>
            </w:r>
            <w:r>
              <w:rPr>
                <w:rFonts w:ascii="Times New Roman" w:hAnsi="Times New Roman" w:cs="Times New Roman"/>
                <w:i w:val="0"/>
                <w:iCs w:val="0"/>
                <w:sz w:val="24"/>
                <w:szCs w:val="24"/>
              </w:rPr>
              <w:t xml:space="preserve">признанные в установленном порядке инвалидами и другие категории граждан)</w:t>
            </w:r>
            <w:r>
              <w:rPr>
                <w:rFonts w:ascii="Times New Roman" w:hAnsi="Times New Roman" w:cs="Times New Roman"/>
                <w:i w:val="0"/>
                <w:iCs w:val="0"/>
                <w:sz w:val="24"/>
                <w:szCs w:val="24"/>
              </w:rPr>
            </w:r>
            <w:r>
              <w:rPr>
                <w:rFonts w:ascii="Times New Roman" w:hAnsi="Times New Roman" w:cs="Times New Roman"/>
                <w:i w:val="0"/>
                <w:iCs w:val="0"/>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t xml:space="preserve">Фонд пенсионного и социального страхования Российской Федерации</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tabs>
                <w:tab w:val="left" w:pos="567" w:leader="none"/>
                <w:tab w:val="left" w:pos="3600" w:leader="none"/>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Приказ Фонда пенсионного и социального страхования Российской Федерации от 29.12.2024 № 2714 «Об утверждении Решения о порядке предоставления субсидии на государственную поддержку стимулирования най</w:t>
            </w:r>
            <w:r>
              <w:rPr>
                <w:rFonts w:ascii="Times New Roman" w:hAnsi="Times New Roman" w:cs="Times New Roman"/>
                <w:sz w:val="24"/>
                <w:szCs w:val="24"/>
              </w:rPr>
              <w:t xml:space="preserve">ма отдельных категорий граждан»</w:t>
            </w:r>
            <w:r>
              <w:rPr>
                <w:rFonts w:ascii="Times New Roman" w:hAnsi="Times New Roman" w:cs="Times New Roman"/>
                <w:sz w:val="24"/>
                <w:szCs w:val="24"/>
              </w:rPr>
            </w:r>
            <w:r>
              <w:rPr>
                <w:rFonts w:ascii="Times New Roman" w:hAnsi="Times New Roman" w:cs="Times New Roman"/>
                <w:sz w:val="24"/>
                <w:szCs w:val="24"/>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Style w:val="711"/>
                <w:rFonts w:ascii="Times New Roman" w:hAnsi="Times New Roman" w:cs="Times New Roman"/>
                <w:sz w:val="12"/>
                <w:szCs w:val="12"/>
                <w14:ligatures w14:val="none"/>
              </w:rPr>
            </w:pPr>
            <w:r>
              <w:rPr>
                <w:rStyle w:val="711"/>
                <w:rFonts w:ascii="Times New Roman" w:hAnsi="Times New Roman" w:cs="Times New Roman"/>
                <w:sz w:val="12"/>
                <w:szCs w:val="12"/>
              </w:rPr>
              <w:t xml:space="preserve">https://sfr.gov.ru/branches/tatarstan/info/~0/12368</w:t>
            </w:r>
            <w:r>
              <w:rPr>
                <w:rStyle w:val="711"/>
                <w:rFonts w:ascii="Times New Roman" w:hAnsi="Times New Roman" w:cs="Times New Roman"/>
                <w:sz w:val="12"/>
                <w:szCs w:val="12"/>
                <w14:ligatures w14:val="none"/>
              </w:rPr>
            </w:r>
            <w:r>
              <w:rPr>
                <w:rStyle w:val="711"/>
                <w:rFonts w:ascii="Times New Roman" w:hAnsi="Times New Roman" w:cs="Times New Roman"/>
                <w:sz w:val="12"/>
                <w:szCs w:val="12"/>
                <w14:ligatures w14:val="none"/>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Частичная компенсация затрат работодателя (организации ОПК) на выплату заработной платы работникам, осуществляющим трудовую деятельность по профессиям, включенным в Перечень профессий, как переезжающим из других субъектов Российской Федерации, так и</w:t>
            </w:r>
            <w:r>
              <w:rPr>
                <w:rFonts w:ascii="Times New Roman" w:hAnsi="Times New Roman" w:cs="Times New Roman"/>
                <w:sz w:val="24"/>
                <w:szCs w:val="24"/>
              </w:rPr>
              <w:t xml:space="preserve"> из других муниципальных образований Республики Татарстан, в случае, если муниципальное образование, из которого переехал работник, и муниципальное образование, где расположен работодатель, не граничат и расстояние между их границами не менее 50 километров</w:t>
            </w:r>
            <w:r>
              <w:rPr>
                <w:rFonts w:ascii="Times New Roman" w:hAnsi="Times New Roman" w:cs="Times New Roman"/>
                <w:sz w:val="24"/>
                <w:szCs w:val="24"/>
              </w:rPr>
            </w:r>
            <w:r>
              <w:rPr>
                <w:rFonts w:ascii="Times New Roman" w:hAnsi="Times New Roman" w:cs="Times New Roman"/>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t xml:space="preserve">Фонд пенсионного и социального страхования Российской Федерации</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Приказ Фонда пенсионного и социального страхования Российской Федерации от 29.12.2024 № 2713 «Об утверждении Решения о порядке предоставления субсидии на государственную поддержку трудоустройства работников из другой м</w:t>
            </w:r>
            <w:r>
              <w:rPr>
                <w:rFonts w:ascii="Times New Roman" w:hAnsi="Times New Roman" w:cs="Times New Roman"/>
                <w:sz w:val="24"/>
                <w:szCs w:val="24"/>
              </w:rPr>
              <w:t xml:space="preserve">естности или других территорий»</w:t>
            </w:r>
            <w:r>
              <w:rPr>
                <w:rFonts w:ascii="Times New Roman" w:hAnsi="Times New Roman" w:cs="Times New Roman"/>
                <w:sz w:val="24"/>
                <w:szCs w:val="24"/>
              </w:rPr>
            </w:r>
            <w:r>
              <w:rPr>
                <w:rFonts w:ascii="Times New Roman" w:hAnsi="Times New Roman" w:cs="Times New Roman"/>
                <w:sz w:val="24"/>
                <w:szCs w:val="24"/>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Style w:val="711"/>
                <w:rFonts w:ascii="Times New Roman" w:hAnsi="Times New Roman" w:cs="Times New Roman"/>
                <w:sz w:val="12"/>
                <w:szCs w:val="12"/>
                <w14:ligatures w14:val="none"/>
              </w:rPr>
            </w:pPr>
            <w:r>
              <w:rPr>
                <w:rStyle w:val="711"/>
                <w:rFonts w:ascii="Times New Roman" w:hAnsi="Times New Roman" w:cs="Times New Roman"/>
                <w:sz w:val="12"/>
                <w:szCs w:val="12"/>
              </w:rPr>
              <w:t xml:space="preserve">https://sfr.gov.ru/branches/tatarstan/info/~0/12368</w:t>
            </w:r>
            <w:r>
              <w:rPr>
                <w:rStyle w:val="711"/>
                <w:rFonts w:ascii="Times New Roman" w:hAnsi="Times New Roman" w:cs="Times New Roman"/>
                <w:sz w:val="12"/>
                <w:szCs w:val="12"/>
                <w14:ligatures w14:val="none"/>
              </w:rPr>
            </w:r>
            <w:r>
              <w:rPr>
                <w:rStyle w:val="711"/>
                <w:rFonts w:ascii="Times New Roman" w:hAnsi="Times New Roman" w:cs="Times New Roman"/>
                <w:sz w:val="12"/>
                <w:szCs w:val="12"/>
                <w14:ligatures w14:val="none"/>
              </w:rPr>
            </w:r>
          </w:p>
        </w:tc>
      </w:tr>
      <w:tr>
        <w:trPr/>
        <w:tblPrEx/>
        <w:tc>
          <w:tcPr>
            <w:tcW w:w="284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Частичная компенсация затрат работодателя на создание</w:t>
            </w:r>
            <w:bookmarkStart w:id="0" w:name="undefined"/>
            <w:bookmarkEnd w:id="0"/>
            <w:r>
              <w:rPr>
                <w:rFonts w:ascii="Times New Roman" w:hAnsi="Times New Roman" w:cs="Times New Roman"/>
                <w:sz w:val="24"/>
                <w:szCs w:val="24"/>
              </w:rPr>
              <w:t xml:space="preserve"> специальных рабочих мест для инвалидов I, II группы, </w:t>
            </w:r>
            <w:r>
              <w:rPr>
                <w:rFonts w:ascii="Times New Roman" w:hAnsi="Times New Roman" w:cs="Times New Roman"/>
                <w:sz w:val="24"/>
                <w:szCs w:val="24"/>
              </w:rPr>
              <w:t xml:space="preserve">ветеранов боевых действий, имеющих инвалидность</w:t>
            </w:r>
            <w:r>
              <w:rPr>
                <w:rFonts w:ascii="Times New Roman" w:hAnsi="Times New Roman" w:cs="Times New Roman"/>
                <w:sz w:val="24"/>
                <w:szCs w:val="24"/>
              </w:rPr>
            </w:r>
            <w:r>
              <w:rPr>
                <w:rFonts w:ascii="Times New Roman" w:hAnsi="Times New Roman" w:cs="Times New Roman"/>
                <w:sz w:val="24"/>
                <w:szCs w:val="24"/>
              </w:rPr>
            </w:r>
          </w:p>
          <w:p>
            <w:pPr>
              <w:widowControl w:val="off"/>
              <w:spacing w:after="0" w:line="24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(возмещение расходов работодателя по факту оборудованного рабочего места для трудоустройства инвалида будет осуществляться не ранее 1 июня 2025 года).</w:t>
            </w:r>
            <w:r>
              <w:rPr>
                <w:rFonts w:ascii="Times New Roman" w:hAnsi="Times New Roman" w:cs="Times New Roman"/>
                <w:i w:val="0"/>
                <w:iCs w:val="0"/>
                <w:sz w:val="24"/>
                <w:szCs w:val="24"/>
              </w:rPr>
            </w:r>
            <w:r>
              <w:rPr>
                <w:rFonts w:ascii="Times New Roman" w:hAnsi="Times New Roman" w:cs="Times New Roman"/>
                <w:i w:val="0"/>
                <w:iCs w:val="0"/>
                <w:sz w:val="24"/>
                <w:szCs w:val="24"/>
              </w:rPr>
            </w:r>
          </w:p>
        </w:tc>
        <w:tc>
          <w:tcPr>
            <w:tcW w:w="2334"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14:ligatures w14:val="none"/>
              </w:rPr>
            </w:pPr>
            <w:r>
              <w:rPr>
                <w:rFonts w:ascii="Times New Roman" w:hAnsi="Times New Roman" w:cs="Times New Roman"/>
                <w:sz w:val="24"/>
                <w:szCs w:val="24"/>
              </w:rPr>
              <w:t xml:space="preserve">Фонд пенсионного и социального страхования Российской Федерации</w:t>
            </w:r>
            <w:r>
              <w:rPr>
                <w:rFonts w:ascii="Times New Roman" w:hAnsi="Times New Roman" w:cs="Times New Roman"/>
                <w:sz w:val="24"/>
                <w:szCs w:val="24"/>
                <w14:ligatures w14:val="none"/>
              </w:rPr>
            </w:r>
            <w:r>
              <w:rPr>
                <w:rFonts w:ascii="Times New Roman" w:hAnsi="Times New Roman" w:cs="Times New Roman"/>
                <w:sz w:val="24"/>
                <w:szCs w:val="24"/>
                <w14:ligatures w14:val="none"/>
              </w:rPr>
            </w:r>
          </w:p>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2847"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Приказ Фонда пенсионного и социального страхования Российской Федерации от 29.12.2024 №</w:t>
            </w:r>
            <w:r>
              <w:rPr>
                <w:rFonts w:ascii="Times New Roman" w:hAnsi="Times New Roman" w:cs="Times New Roman"/>
                <w:sz w:val="24"/>
                <w:szCs w:val="24"/>
              </w:rPr>
              <w:t xml:space="preserve"> 2712 «Об утверждении Решения о порядке предоставления субсидии в целях создания (оборудования) рабочих мест</w:t>
            </w:r>
            <w:r>
              <w:rPr>
                <w:rFonts w:ascii="Times New Roman" w:hAnsi="Times New Roman" w:cs="Times New Roman"/>
                <w:sz w:val="24"/>
                <w:szCs w:val="24"/>
              </w:rPr>
              <w:t xml:space="preserve"> для трудоустройства инвалидов»</w:t>
            </w:r>
            <w:r>
              <w:rPr>
                <w:rFonts w:ascii="Times New Roman" w:hAnsi="Times New Roman" w:cs="Times New Roman"/>
                <w:sz w:val="24"/>
                <w:szCs w:val="24"/>
              </w:rPr>
            </w:r>
            <w:r>
              <w:rPr>
                <w:rFonts w:ascii="Times New Roman" w:hAnsi="Times New Roman" w:cs="Times New Roman"/>
                <w:sz w:val="24"/>
                <w:szCs w:val="24"/>
              </w:rPr>
            </w:r>
          </w:p>
        </w:tc>
        <w:tc>
          <w:tcPr>
            <w:tcW w:w="71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widowControl w:val="off"/>
              <w:spacing w:before="0" w:after="0" w:line="240" w:lineRule="auto"/>
              <w:jc w:val="center"/>
              <w:rPr>
                <w:rStyle w:val="711"/>
                <w:rFonts w:ascii="Times New Roman" w:hAnsi="Times New Roman" w:cs="Times New Roman"/>
                <w:sz w:val="12"/>
                <w:szCs w:val="12"/>
                <w14:ligatures w14:val="none"/>
              </w:rPr>
            </w:pPr>
            <w:r>
              <w:rPr>
                <w:rStyle w:val="711"/>
                <w:rFonts w:ascii="Times New Roman" w:hAnsi="Times New Roman" w:cs="Times New Roman"/>
                <w:sz w:val="12"/>
                <w:szCs w:val="12"/>
              </w:rPr>
            </w:r>
            <w:hyperlink r:id="rId141" w:tooltip="https://sfr.gov.ru/branches/tatarstan/info/~0/12368" w:history="1">
              <w:r>
                <w:rPr>
                  <w:rStyle w:val="711"/>
                  <w:rFonts w:ascii="Times New Roman" w:hAnsi="Times New Roman" w:cs="Times New Roman"/>
                  <w:sz w:val="12"/>
                  <w:szCs w:val="12"/>
                </w:rPr>
                <w:t xml:space="preserve">https://sfr.gov.ru/branches/tatarstan/info/~0/12368</w:t>
              </w:r>
            </w:hyperlink>
            <w:r>
              <w:rPr>
                <w:rStyle w:val="711"/>
                <w:rFonts w:ascii="Times New Roman" w:hAnsi="Times New Roman" w:cs="Times New Roman"/>
                <w:sz w:val="12"/>
                <w:szCs w:val="12"/>
                <w14:ligatures w14:val="none"/>
              </w:rPr>
            </w:r>
            <w:r>
              <w:rPr>
                <w:rStyle w:val="711"/>
                <w:rFonts w:ascii="Times New Roman" w:hAnsi="Times New Roman" w:cs="Times New Roman"/>
                <w:sz w:val="12"/>
                <w:szCs w:val="12"/>
                <w14:ligatures w14:val="none"/>
              </w:rPr>
            </w:r>
          </w:p>
        </w:tc>
      </w:tr>
    </w:tbl>
    <w:p>
      <w:pPr>
        <w:pStyle w:val="678"/>
        <w:spacing w:before="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sectPr>
      <w:headerReference w:type="default" r:id="rId9"/>
      <w:footnotePr/>
      <w:endnotePr/>
      <w:type w:val="nextPage"/>
      <w:pgSz w:w="16838" w:h="11906" w:orient="landscape"/>
      <w:pgMar w:top="1134" w:right="567" w:bottom="1134" w:left="1134" w:header="709"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Devanagari">
    <w:panose1 w:val="020B0502040504020204"/>
  </w:font>
  <w:font w:name="Times New Roman">
    <w:panose1 w:val="02020603050405020304"/>
  </w:font>
  <w:font w:name="Microsoft YaHei">
    <w:panose1 w:val="020B0503020204020204"/>
  </w:font>
  <w:font w:name="Mangal">
    <w:panose1 w:val="02040503050203030202"/>
  </w:font>
  <w:font w:name="OpenSymbol">
    <w:panose1 w:val="05010000000000000000"/>
  </w:font>
  <w:font w:name="Segoe UI">
    <w:panose1 w:val="020B0502040204020203"/>
  </w:font>
  <w:font w:name="Liberation Serif">
    <w:panose1 w:val="02020603050405020304"/>
  </w:font>
  <w:font w:name="PT Astra Serif">
    <w:panose1 w:val="020A0603040505020204"/>
  </w:font>
  <w:font w:name="Arial">
    <w:panose1 w:val="020B0604020202020204"/>
  </w:font>
  <w:font w:name="Tahoma">
    <w:panose1 w:val="020B060403050404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34</w:t>
    </w:r>
    <w:r>
      <w:rPr>
        <w:rFonts w:ascii="Times New Roman" w:hAnsi="Times New Roman" w:cs="Times New Roman"/>
        <w:sz w:val="28"/>
        <w:szCs w:val="28"/>
      </w:rPr>
      <w:fldChar w:fldCharType="end"/>
    </w:r>
    <w:r>
      <w:rPr>
        <w:rFonts w:ascii="Times New Roman" w:hAnsi="Times New Roman" w:cs="Times New Roman"/>
        <w:sz w:val="28"/>
        <w:szCs w:val="28"/>
      </w:rPr>
    </w:r>
    <w:r>
      <w:rPr>
        <w:rFonts w:ascii="Times New Roman" w:hAnsi="Times New Roman" w:cs="Times New Roman"/>
        <w:sz w:val="28"/>
        <w:szCs w:val="28"/>
      </w:rPr>
    </w:r>
  </w:p>
  <w:p>
    <w:pPr>
      <w:pStyle w:val="7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tabs>
          <w:tab w:val="num" w:pos="0" w:leader="none"/>
        </w:tabs>
        <w:ind w:left="360" w:hanging="360"/>
      </w:pPr>
    </w:lvl>
    <w:lvl w:ilvl="1">
      <w:start w:val="1"/>
      <w:numFmt w:val="decimal"/>
      <w:isLgl w:val="false"/>
      <w:suff w:val="tab"/>
      <w:lvlText w:val="%1.%2."/>
      <w:lvlJc w:val="left"/>
      <w:pPr>
        <w:tabs>
          <w:tab w:val="num" w:pos="0" w:leader="none"/>
        </w:tabs>
        <w:ind w:left="360" w:hanging="360"/>
      </w:pPr>
    </w:lvl>
    <w:lvl w:ilvl="2">
      <w:start w:val="1"/>
      <w:numFmt w:val="decimal"/>
      <w:isLgl w:val="false"/>
      <w:suff w:val="tab"/>
      <w:lvlText w:val="%1.%2.%3."/>
      <w:lvlJc w:val="left"/>
      <w:pPr>
        <w:tabs>
          <w:tab w:val="num" w:pos="0" w:leader="none"/>
        </w:tabs>
        <w:ind w:left="720" w:hanging="720"/>
      </w:pPr>
    </w:lvl>
    <w:lvl w:ilvl="3">
      <w:start w:val="1"/>
      <w:numFmt w:val="decimal"/>
      <w:isLgl w:val="false"/>
      <w:suff w:val="tab"/>
      <w:lvlText w:val="%1.%2.%3.%4."/>
      <w:lvlJc w:val="left"/>
      <w:pPr>
        <w:tabs>
          <w:tab w:val="num" w:pos="0" w:leader="none"/>
        </w:tabs>
        <w:ind w:left="720" w:hanging="720"/>
      </w:pPr>
    </w:lvl>
    <w:lvl w:ilvl="4">
      <w:start w:val="1"/>
      <w:numFmt w:val="decimal"/>
      <w:isLgl w:val="false"/>
      <w:suff w:val="tab"/>
      <w:lvlText w:val="%1.%2.%3.%4.%5."/>
      <w:lvlJc w:val="left"/>
      <w:pPr>
        <w:tabs>
          <w:tab w:val="num" w:pos="0" w:leader="none"/>
        </w:tabs>
        <w:ind w:left="1080" w:hanging="1080"/>
      </w:pPr>
    </w:lvl>
    <w:lvl w:ilvl="5">
      <w:start w:val="1"/>
      <w:numFmt w:val="decimal"/>
      <w:isLgl w:val="false"/>
      <w:suff w:val="tab"/>
      <w:lvlText w:val="%1.%2.%3.%4.%5.%6."/>
      <w:lvlJc w:val="left"/>
      <w:pPr>
        <w:tabs>
          <w:tab w:val="num" w:pos="0" w:leader="none"/>
        </w:tabs>
        <w:ind w:left="1080" w:hanging="1080"/>
      </w:pPr>
    </w:lvl>
    <w:lvl w:ilvl="6">
      <w:start w:val="1"/>
      <w:numFmt w:val="decimal"/>
      <w:isLgl w:val="false"/>
      <w:suff w:val="tab"/>
      <w:lvlText w:val="%1.%2.%3.%4.%5.%6.%7."/>
      <w:lvlJc w:val="left"/>
      <w:pPr>
        <w:tabs>
          <w:tab w:val="num" w:pos="0" w:leader="none"/>
        </w:tabs>
        <w:ind w:left="1440" w:hanging="1440"/>
      </w:pPr>
    </w:lvl>
    <w:lvl w:ilvl="7">
      <w:start w:val="1"/>
      <w:numFmt w:val="decimal"/>
      <w:isLgl w:val="false"/>
      <w:suff w:val="tab"/>
      <w:lvlText w:val="%1.%2.%3.%4.%5.%6.%7.%8."/>
      <w:lvlJc w:val="left"/>
      <w:pPr>
        <w:tabs>
          <w:tab w:val="num" w:pos="0" w:leader="none"/>
        </w:tabs>
        <w:ind w:left="1440" w:hanging="1440"/>
      </w:pPr>
    </w:lvl>
    <w:lvl w:ilvl="8">
      <w:start w:val="1"/>
      <w:numFmt w:val="decimal"/>
      <w:isLgl w:val="false"/>
      <w:suff w:val="tab"/>
      <w:lvlText w:val="%1.%2.%3.%4.%5.%6.%7.%8.%9."/>
      <w:lvlJc w:val="left"/>
      <w:pPr>
        <w:tabs>
          <w:tab w:val="num" w:pos="0" w:leader="none"/>
        </w:tabs>
        <w:ind w:left="1800" w:hanging="1800"/>
      </w:pPr>
    </w:lvl>
  </w:abstractNum>
  <w:abstractNum w:abstractNumId="1">
    <w:multiLevelType w:val="hybridMultilevel"/>
    <w:lvl w:ilvl="0">
      <w:start w:val="1"/>
      <w:numFmt w:val="none"/>
      <w:isLgl w:val="false"/>
      <w:suff w:val="nothing"/>
      <w:lvlText w:val=""/>
      <w:lvlJc w:val="left"/>
      <w:pPr>
        <w:tabs>
          <w:tab w:val="num" w:pos="0" w:leader="none"/>
        </w:tabs>
        <w:ind w:left="0" w:firstLine="0"/>
      </w:pPr>
    </w:lvl>
    <w:lvl w:ilvl="1">
      <w:start w:val="1"/>
      <w:numFmt w:val="none"/>
      <w:isLgl w:val="false"/>
      <w:suff w:val="nothing"/>
      <w:lvlText w:val=""/>
      <w:lvlJc w:val="left"/>
      <w:pPr>
        <w:tabs>
          <w:tab w:val="num" w:pos="0" w:leader="none"/>
        </w:tabs>
        <w:ind w:left="0" w:firstLine="0"/>
      </w:pPr>
    </w:lvl>
    <w:lvl w:ilvl="2">
      <w:start w:val="1"/>
      <w:numFmt w:val="none"/>
      <w:isLgl w:val="false"/>
      <w:suff w:val="nothing"/>
      <w:lvlText w:val=""/>
      <w:lvlJc w:val="left"/>
      <w:pPr>
        <w:tabs>
          <w:tab w:val="num" w:pos="0" w:leader="none"/>
        </w:tabs>
        <w:ind w:left="0" w:firstLine="0"/>
      </w:pPr>
    </w:lvl>
    <w:lvl w:ilvl="3">
      <w:start w:val="1"/>
      <w:numFmt w:val="none"/>
      <w:isLgl w:val="false"/>
      <w:suff w:val="nothing"/>
      <w:lvlText w:val=""/>
      <w:lvlJc w:val="left"/>
      <w:pPr>
        <w:tabs>
          <w:tab w:val="num" w:pos="0" w:leader="none"/>
        </w:tabs>
        <w:ind w:left="0" w:firstLine="0"/>
      </w:pPr>
    </w:lvl>
    <w:lvl w:ilvl="4">
      <w:start w:val="1"/>
      <w:numFmt w:val="none"/>
      <w:isLgl w:val="false"/>
      <w:suff w:val="nothing"/>
      <w:lvlText w:val=""/>
      <w:lvlJc w:val="left"/>
      <w:pPr>
        <w:tabs>
          <w:tab w:val="num" w:pos="0" w:leader="none"/>
        </w:tabs>
        <w:ind w:left="0" w:firstLine="0"/>
      </w:pPr>
    </w:lvl>
    <w:lvl w:ilvl="5">
      <w:start w:val="1"/>
      <w:numFmt w:val="none"/>
      <w:isLgl w:val="false"/>
      <w:suff w:val="nothing"/>
      <w:lvlText w:val=""/>
      <w:lvlJc w:val="left"/>
      <w:pPr>
        <w:tabs>
          <w:tab w:val="num" w:pos="0" w:leader="none"/>
        </w:tabs>
        <w:ind w:left="0" w:firstLine="0"/>
      </w:pPr>
    </w:lvl>
    <w:lvl w:ilvl="6">
      <w:start w:val="1"/>
      <w:numFmt w:val="none"/>
      <w:isLgl w:val="false"/>
      <w:suff w:val="nothing"/>
      <w:lvlText w:val=""/>
      <w:lvlJc w:val="left"/>
      <w:pPr>
        <w:tabs>
          <w:tab w:val="num" w:pos="0" w:leader="none"/>
        </w:tabs>
        <w:ind w:left="0" w:firstLine="0"/>
      </w:pPr>
    </w:lvl>
    <w:lvl w:ilvl="7">
      <w:start w:val="1"/>
      <w:numFmt w:val="none"/>
      <w:isLgl w:val="false"/>
      <w:suff w:val="nothing"/>
      <w:lvlText w:val=""/>
      <w:lvlJc w:val="left"/>
      <w:pPr>
        <w:tabs>
          <w:tab w:val="num" w:pos="0" w:leader="none"/>
        </w:tabs>
        <w:ind w:left="0" w:firstLine="0"/>
      </w:pPr>
    </w:lvl>
    <w:lvl w:ilvl="8">
      <w:start w:val="1"/>
      <w:numFmt w:val="none"/>
      <w:isLgl w:val="false"/>
      <w:suff w:val="nothing"/>
      <w:lvlText w:val=""/>
      <w:lvlJc w:val="left"/>
      <w:pPr>
        <w:tabs>
          <w:tab w:val="num" w:pos="0" w:leader="none"/>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ahoma"/>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8" w:default="1">
    <w:name w:val="Normal"/>
    <w:qFormat/>
    <w:pPr>
      <w:widowControl/>
      <w:spacing w:before="0" w:after="160" w:line="259" w:lineRule="auto"/>
      <w:jc w:val="left"/>
    </w:pPr>
    <w:rPr>
      <w:rFonts w:ascii="Calibri" w:hAnsi="Calibri" w:eastAsia="Calibri" w:cs="Tahoma"/>
      <w:color w:val="auto"/>
      <w:sz w:val="22"/>
      <w:szCs w:val="22"/>
      <w:lang w:val="ru-RU" w:eastAsia="en-US" w:bidi="ar-SA"/>
    </w:rPr>
  </w:style>
  <w:style w:type="paragraph" w:styleId="679">
    <w:name w:val="Heading 1"/>
    <w:basedOn w:val="678"/>
    <w:uiPriority w:val="9"/>
    <w:qFormat/>
    <w:pPr>
      <w:keepNext/>
      <w:keepLines/>
      <w:spacing w:before="480" w:after="200"/>
      <w:outlineLvl w:val="0"/>
    </w:pPr>
    <w:rPr>
      <w:rFonts w:ascii="Arial" w:hAnsi="Arial" w:eastAsia="Arial" w:cs="Arial"/>
      <w:sz w:val="40"/>
      <w:szCs w:val="40"/>
    </w:rPr>
  </w:style>
  <w:style w:type="paragraph" w:styleId="680">
    <w:name w:val="Heading 2"/>
    <w:basedOn w:val="678"/>
    <w:uiPriority w:val="9"/>
    <w:unhideWhenUsed/>
    <w:qFormat/>
    <w:pPr>
      <w:keepNext/>
      <w:keepLines/>
      <w:spacing w:before="360" w:after="200"/>
      <w:outlineLvl w:val="1"/>
    </w:pPr>
    <w:rPr>
      <w:rFonts w:ascii="Arial" w:hAnsi="Arial" w:eastAsia="Arial" w:cs="Arial"/>
      <w:sz w:val="34"/>
    </w:rPr>
  </w:style>
  <w:style w:type="paragraph" w:styleId="681">
    <w:name w:val="Heading 3"/>
    <w:basedOn w:val="723"/>
    <w:qFormat/>
    <w:pPr>
      <w:spacing w:before="140" w:after="120"/>
      <w:outlineLvl w:val="2"/>
    </w:pPr>
    <w:rPr>
      <w:rFonts w:ascii="Liberation Serif" w:hAnsi="Liberation Serif" w:cs="Tahoma"/>
      <w:b/>
      <w:bCs/>
    </w:rPr>
  </w:style>
  <w:style w:type="paragraph" w:styleId="682">
    <w:name w:val="Heading 4"/>
    <w:basedOn w:val="678"/>
    <w:uiPriority w:val="9"/>
    <w:unhideWhenUsed/>
    <w:qFormat/>
    <w:pPr>
      <w:keepNext/>
      <w:keepLines/>
      <w:spacing w:before="320" w:after="200"/>
      <w:outlineLvl w:val="3"/>
    </w:pPr>
    <w:rPr>
      <w:rFonts w:ascii="Arial" w:hAnsi="Arial" w:eastAsia="Arial" w:cs="Arial"/>
      <w:b/>
      <w:bCs/>
      <w:sz w:val="26"/>
      <w:szCs w:val="26"/>
    </w:rPr>
  </w:style>
  <w:style w:type="paragraph" w:styleId="683">
    <w:name w:val="Heading 5"/>
    <w:basedOn w:val="678"/>
    <w:uiPriority w:val="9"/>
    <w:unhideWhenUsed/>
    <w:qFormat/>
    <w:pPr>
      <w:keepNext/>
      <w:keepLines/>
      <w:spacing w:before="320" w:after="200"/>
      <w:outlineLvl w:val="4"/>
    </w:pPr>
    <w:rPr>
      <w:rFonts w:ascii="Arial" w:hAnsi="Arial" w:eastAsia="Arial" w:cs="Arial"/>
      <w:b/>
      <w:bCs/>
      <w:sz w:val="24"/>
      <w:szCs w:val="24"/>
    </w:rPr>
  </w:style>
  <w:style w:type="paragraph" w:styleId="684">
    <w:name w:val="Heading 6"/>
    <w:basedOn w:val="678"/>
    <w:uiPriority w:val="9"/>
    <w:unhideWhenUsed/>
    <w:qFormat/>
    <w:pPr>
      <w:keepNext/>
      <w:keepLines/>
      <w:spacing w:before="320" w:after="200"/>
      <w:outlineLvl w:val="5"/>
    </w:pPr>
    <w:rPr>
      <w:rFonts w:ascii="Arial" w:hAnsi="Arial" w:eastAsia="Arial" w:cs="Arial"/>
      <w:b/>
      <w:bCs/>
    </w:rPr>
  </w:style>
  <w:style w:type="paragraph" w:styleId="685">
    <w:name w:val="Heading 7"/>
    <w:basedOn w:val="678"/>
    <w:uiPriority w:val="9"/>
    <w:unhideWhenUsed/>
    <w:qFormat/>
    <w:pPr>
      <w:keepNext/>
      <w:keepLines/>
      <w:spacing w:before="320" w:after="200"/>
      <w:outlineLvl w:val="6"/>
    </w:pPr>
    <w:rPr>
      <w:rFonts w:ascii="Arial" w:hAnsi="Arial" w:eastAsia="Arial" w:cs="Arial"/>
      <w:b/>
      <w:bCs/>
      <w:i/>
      <w:iCs/>
    </w:rPr>
  </w:style>
  <w:style w:type="paragraph" w:styleId="686">
    <w:name w:val="Heading 8"/>
    <w:basedOn w:val="678"/>
    <w:uiPriority w:val="9"/>
    <w:unhideWhenUsed/>
    <w:qFormat/>
    <w:pPr>
      <w:keepNext/>
      <w:keepLines/>
      <w:spacing w:before="320" w:after="200"/>
      <w:outlineLvl w:val="7"/>
    </w:pPr>
    <w:rPr>
      <w:rFonts w:ascii="Arial" w:hAnsi="Arial" w:eastAsia="Arial" w:cs="Arial"/>
      <w:i/>
      <w:iCs/>
    </w:rPr>
  </w:style>
  <w:style w:type="paragraph" w:styleId="687">
    <w:name w:val="Heading 9"/>
    <w:basedOn w:val="678"/>
    <w:uiPriority w:val="9"/>
    <w:unhideWhenUsed/>
    <w:qFormat/>
    <w:pPr>
      <w:keepNext/>
      <w:keepLines/>
      <w:spacing w:before="320" w:after="200"/>
      <w:outlineLvl w:val="8"/>
    </w:pPr>
    <w:rPr>
      <w:rFonts w:ascii="Arial" w:hAnsi="Arial" w:eastAsia="Arial" w:cs="Arial"/>
      <w:i/>
      <w:iCs/>
      <w:sz w:val="21"/>
      <w:szCs w:val="21"/>
    </w:rPr>
  </w:style>
  <w:style w:type="character" w:styleId="688" w:default="1">
    <w:name w:val="Default Paragraph Font"/>
    <w:uiPriority w:val="1"/>
    <w:semiHidden/>
    <w:unhideWhenUsed/>
    <w:qFormat/>
  </w:style>
  <w:style w:type="character" w:styleId="689" w:customStyle="1">
    <w:name w:val="Heading 1 Char"/>
    <w:basedOn w:val="688"/>
    <w:uiPriority w:val="9"/>
    <w:qFormat/>
    <w:rPr>
      <w:rFonts w:ascii="Arial" w:hAnsi="Arial" w:eastAsia="Arial" w:cs="Arial"/>
      <w:sz w:val="40"/>
      <w:szCs w:val="40"/>
    </w:rPr>
  </w:style>
  <w:style w:type="character" w:styleId="690" w:customStyle="1">
    <w:name w:val="Heading 2 Char"/>
    <w:basedOn w:val="688"/>
    <w:uiPriority w:val="9"/>
    <w:qFormat/>
    <w:rPr>
      <w:rFonts w:ascii="Arial" w:hAnsi="Arial" w:eastAsia="Arial" w:cs="Arial"/>
      <w:sz w:val="34"/>
    </w:rPr>
  </w:style>
  <w:style w:type="character" w:styleId="691" w:customStyle="1">
    <w:name w:val="Heading 3 Char"/>
    <w:basedOn w:val="688"/>
    <w:uiPriority w:val="9"/>
    <w:qFormat/>
    <w:rPr>
      <w:rFonts w:ascii="Arial" w:hAnsi="Arial" w:eastAsia="Arial" w:cs="Arial"/>
      <w:sz w:val="30"/>
      <w:szCs w:val="30"/>
    </w:rPr>
  </w:style>
  <w:style w:type="character" w:styleId="692" w:customStyle="1">
    <w:name w:val="Heading 4 Char"/>
    <w:basedOn w:val="688"/>
    <w:uiPriority w:val="9"/>
    <w:qFormat/>
    <w:rPr>
      <w:rFonts w:ascii="Arial" w:hAnsi="Arial" w:eastAsia="Arial" w:cs="Arial"/>
      <w:b/>
      <w:bCs/>
      <w:sz w:val="26"/>
      <w:szCs w:val="26"/>
    </w:rPr>
  </w:style>
  <w:style w:type="character" w:styleId="693" w:customStyle="1">
    <w:name w:val="Heading 5 Char"/>
    <w:basedOn w:val="688"/>
    <w:uiPriority w:val="9"/>
    <w:qFormat/>
    <w:rPr>
      <w:rFonts w:ascii="Arial" w:hAnsi="Arial" w:eastAsia="Arial" w:cs="Arial"/>
      <w:b/>
      <w:bCs/>
      <w:sz w:val="24"/>
      <w:szCs w:val="24"/>
    </w:rPr>
  </w:style>
  <w:style w:type="character" w:styleId="694" w:customStyle="1">
    <w:name w:val="Heading 6 Char"/>
    <w:basedOn w:val="688"/>
    <w:uiPriority w:val="9"/>
    <w:qFormat/>
    <w:rPr>
      <w:rFonts w:ascii="Arial" w:hAnsi="Arial" w:eastAsia="Arial" w:cs="Arial"/>
      <w:b/>
      <w:bCs/>
      <w:sz w:val="22"/>
      <w:szCs w:val="22"/>
    </w:rPr>
  </w:style>
  <w:style w:type="character" w:styleId="695" w:customStyle="1">
    <w:name w:val="Heading 7 Char"/>
    <w:basedOn w:val="688"/>
    <w:uiPriority w:val="9"/>
    <w:qFormat/>
    <w:rPr>
      <w:rFonts w:ascii="Arial" w:hAnsi="Arial" w:eastAsia="Arial" w:cs="Arial"/>
      <w:b/>
      <w:bCs/>
      <w:i/>
      <w:iCs/>
      <w:sz w:val="22"/>
      <w:szCs w:val="22"/>
    </w:rPr>
  </w:style>
  <w:style w:type="character" w:styleId="696" w:customStyle="1">
    <w:name w:val="Heading 8 Char"/>
    <w:basedOn w:val="688"/>
    <w:uiPriority w:val="9"/>
    <w:qFormat/>
    <w:rPr>
      <w:rFonts w:ascii="Arial" w:hAnsi="Arial" w:eastAsia="Arial" w:cs="Arial"/>
      <w:i/>
      <w:iCs/>
      <w:sz w:val="22"/>
      <w:szCs w:val="22"/>
    </w:rPr>
  </w:style>
  <w:style w:type="character" w:styleId="697" w:customStyle="1">
    <w:name w:val="Heading 9 Char"/>
    <w:basedOn w:val="688"/>
    <w:uiPriority w:val="9"/>
    <w:qFormat/>
    <w:rPr>
      <w:rFonts w:ascii="Arial" w:hAnsi="Arial" w:eastAsia="Arial" w:cs="Arial"/>
      <w:i/>
      <w:iCs/>
      <w:sz w:val="21"/>
      <w:szCs w:val="21"/>
    </w:rPr>
  </w:style>
  <w:style w:type="character" w:styleId="698" w:customStyle="1">
    <w:name w:val="Title Char"/>
    <w:basedOn w:val="688"/>
    <w:uiPriority w:val="10"/>
    <w:qFormat/>
    <w:rPr>
      <w:sz w:val="48"/>
      <w:szCs w:val="48"/>
    </w:rPr>
  </w:style>
  <w:style w:type="character" w:styleId="699" w:customStyle="1">
    <w:name w:val="Subtitle Char"/>
    <w:basedOn w:val="688"/>
    <w:uiPriority w:val="11"/>
    <w:qFormat/>
    <w:rPr>
      <w:sz w:val="24"/>
      <w:szCs w:val="24"/>
    </w:rPr>
  </w:style>
  <w:style w:type="character" w:styleId="700" w:customStyle="1">
    <w:name w:val="Quote Char"/>
    <w:uiPriority w:val="29"/>
    <w:qFormat/>
    <w:rPr>
      <w:i/>
    </w:rPr>
  </w:style>
  <w:style w:type="character" w:styleId="701" w:customStyle="1">
    <w:name w:val="Intense Quote Char"/>
    <w:uiPriority w:val="30"/>
    <w:qFormat/>
    <w:rPr>
      <w:i/>
    </w:rPr>
  </w:style>
  <w:style w:type="character" w:styleId="702" w:customStyle="1">
    <w:name w:val="Header Char"/>
    <w:basedOn w:val="688"/>
    <w:uiPriority w:val="99"/>
    <w:qFormat/>
  </w:style>
  <w:style w:type="character" w:styleId="703" w:customStyle="1">
    <w:name w:val="Footer Char"/>
    <w:basedOn w:val="688"/>
    <w:uiPriority w:val="99"/>
    <w:qFormat/>
  </w:style>
  <w:style w:type="character" w:styleId="704" w:customStyle="1">
    <w:name w:val="Caption Char"/>
    <w:uiPriority w:val="99"/>
    <w:qFormat/>
  </w:style>
  <w:style w:type="character" w:styleId="705" w:customStyle="1">
    <w:name w:val="Footnote Text Char"/>
    <w:uiPriority w:val="99"/>
    <w:qFormat/>
    <w:rPr>
      <w:sz w:val="18"/>
    </w:rPr>
  </w:style>
  <w:style w:type="character" w:styleId="706" w:customStyle="1">
    <w:name w:val="Символ сноски"/>
    <w:uiPriority w:val="99"/>
    <w:unhideWhenUsed/>
    <w:qFormat/>
    <w:rPr>
      <w:vertAlign w:val="superscript"/>
    </w:rPr>
  </w:style>
  <w:style w:type="character" w:styleId="707">
    <w:name w:val="footnote reference"/>
    <w:rPr>
      <w:vertAlign w:val="superscript"/>
    </w:rPr>
  </w:style>
  <w:style w:type="character" w:styleId="708" w:customStyle="1">
    <w:name w:val="Endnote Text Char"/>
    <w:uiPriority w:val="99"/>
    <w:qFormat/>
    <w:rPr>
      <w:sz w:val="20"/>
    </w:rPr>
  </w:style>
  <w:style w:type="character" w:styleId="709" w:customStyle="1">
    <w:name w:val="Символ концевой сноски"/>
    <w:uiPriority w:val="99"/>
    <w:semiHidden/>
    <w:unhideWhenUsed/>
    <w:qFormat/>
    <w:rPr>
      <w:vertAlign w:val="superscript"/>
    </w:rPr>
  </w:style>
  <w:style w:type="character" w:styleId="710">
    <w:name w:val="endnote reference"/>
    <w:rPr>
      <w:vertAlign w:val="superscript"/>
    </w:rPr>
  </w:style>
  <w:style w:type="character" w:styleId="711">
    <w:name w:val="Hyperlink"/>
    <w:basedOn w:val="688"/>
    <w:rPr>
      <w:color w:val="0563c1"/>
      <w:u w:val="single"/>
    </w:rPr>
  </w:style>
  <w:style w:type="character" w:styleId="712">
    <w:name w:val="FollowedHyperlink"/>
    <w:basedOn w:val="688"/>
    <w:rPr>
      <w:color w:val="954f72"/>
      <w:u w:val="single"/>
    </w:rPr>
  </w:style>
  <w:style w:type="character" w:styleId="713" w:customStyle="1">
    <w:name w:val="Верхний колонтитул Знак"/>
    <w:basedOn w:val="688"/>
    <w:qFormat/>
  </w:style>
  <w:style w:type="character" w:styleId="714" w:customStyle="1">
    <w:name w:val="Нижний колонтитул Знак"/>
    <w:basedOn w:val="688"/>
    <w:qFormat/>
  </w:style>
  <w:style w:type="character" w:styleId="715" w:customStyle="1">
    <w:name w:val="Текст выноски Знак"/>
    <w:basedOn w:val="688"/>
    <w:qFormat/>
    <w:rPr>
      <w:rFonts w:ascii="Segoe UI" w:hAnsi="Segoe UI" w:cs="Segoe UI"/>
      <w:sz w:val="18"/>
      <w:szCs w:val="18"/>
    </w:rPr>
  </w:style>
  <w:style w:type="character" w:styleId="716" w:customStyle="1">
    <w:name w:val="Маркеры"/>
    <w:qFormat/>
    <w:rPr>
      <w:rFonts w:ascii="OpenSymbol" w:hAnsi="OpenSymbol" w:eastAsia="OpenSymbol" w:cs="OpenSymbol"/>
    </w:rPr>
  </w:style>
  <w:style w:type="character" w:styleId="717">
    <w:name w:val="Strong"/>
    <w:qFormat/>
    <w:rPr>
      <w:b/>
      <w:bCs/>
    </w:rPr>
  </w:style>
  <w:style w:type="paragraph" w:styleId="718">
    <w:name w:val="Заголовок"/>
    <w:basedOn w:val="678"/>
    <w:next w:val="719"/>
    <w:qFormat/>
    <w:pPr>
      <w:keepNext/>
      <w:spacing w:before="240" w:after="120"/>
    </w:pPr>
    <w:rPr>
      <w:rFonts w:ascii="PT Astra Serif" w:hAnsi="PT Astra Serif" w:eastAsia="Microsoft YaHei" w:cs="Mangal"/>
      <w:sz w:val="28"/>
      <w:szCs w:val="28"/>
    </w:rPr>
  </w:style>
  <w:style w:type="paragraph" w:styleId="719">
    <w:name w:val="Body Text"/>
    <w:basedOn w:val="678"/>
    <w:pPr>
      <w:spacing w:before="0" w:after="140" w:line="276" w:lineRule="auto"/>
    </w:pPr>
  </w:style>
  <w:style w:type="paragraph" w:styleId="720">
    <w:name w:val="List"/>
    <w:basedOn w:val="719"/>
    <w:rPr>
      <w:rFonts w:ascii="PT Astra Serif" w:hAnsi="PT Astra Serif" w:cs="Noto Sans Devanagari"/>
    </w:rPr>
  </w:style>
  <w:style w:type="paragraph" w:styleId="721">
    <w:name w:val="Caption"/>
    <w:basedOn w:val="678"/>
    <w:qFormat/>
    <w:pPr>
      <w:suppressLineNumbers/>
      <w:spacing w:before="120" w:after="120"/>
    </w:pPr>
    <w:rPr>
      <w:rFonts w:ascii="PT Astra Serif" w:hAnsi="PT Astra Serif" w:cs="Mangal"/>
      <w:i/>
      <w:iCs/>
      <w:sz w:val="24"/>
      <w:szCs w:val="24"/>
    </w:rPr>
  </w:style>
  <w:style w:type="paragraph" w:styleId="722">
    <w:name w:val="Указатель"/>
    <w:basedOn w:val="678"/>
    <w:qFormat/>
    <w:pPr>
      <w:suppressLineNumbers/>
    </w:pPr>
    <w:rPr>
      <w:rFonts w:ascii="PT Astra Serif" w:hAnsi="PT Astra Serif" w:cs="Mangal"/>
    </w:rPr>
  </w:style>
  <w:style w:type="paragraph" w:styleId="723">
    <w:name w:val="Title"/>
    <w:basedOn w:val="678"/>
    <w:next w:val="719"/>
    <w:qFormat/>
    <w:pPr>
      <w:keepNext/>
      <w:spacing w:before="240" w:after="120"/>
    </w:pPr>
    <w:rPr>
      <w:rFonts w:ascii="PT Astra Serif" w:hAnsi="PT Astra Serif" w:eastAsia="Tahoma" w:cs="Noto Sans Devanagari"/>
      <w:sz w:val="28"/>
      <w:szCs w:val="28"/>
    </w:rPr>
  </w:style>
  <w:style w:type="paragraph" w:styleId="724">
    <w:name w:val="index heading"/>
    <w:basedOn w:val="723"/>
    <w:qFormat/>
  </w:style>
  <w:style w:type="paragraph" w:styleId="725">
    <w:name w:val="No Spacing"/>
    <w:uiPriority w:val="1"/>
    <w:qFormat/>
    <w:pPr>
      <w:widowControl/>
      <w:spacing w:before="0" w:after="0"/>
      <w:jc w:val="left"/>
    </w:pPr>
    <w:rPr>
      <w:rFonts w:ascii="Calibri" w:hAnsi="Calibri" w:eastAsia="Calibri" w:cs="Tahoma"/>
      <w:color w:val="auto"/>
      <w:sz w:val="22"/>
      <w:szCs w:val="22"/>
      <w:lang w:val="ru-RU" w:eastAsia="en-US" w:bidi="ar-SA"/>
    </w:rPr>
  </w:style>
  <w:style w:type="paragraph" w:styleId="726">
    <w:name w:val="Subtitle"/>
    <w:basedOn w:val="678"/>
    <w:uiPriority w:val="11"/>
    <w:qFormat/>
    <w:pPr>
      <w:spacing w:before="200" w:after="200"/>
    </w:pPr>
    <w:rPr>
      <w:sz w:val="24"/>
      <w:szCs w:val="24"/>
    </w:rPr>
  </w:style>
  <w:style w:type="paragraph" w:styleId="727">
    <w:name w:val="Quote"/>
    <w:basedOn w:val="678"/>
    <w:uiPriority w:val="29"/>
    <w:qFormat/>
    <w:pPr>
      <w:ind w:left="720" w:right="720" w:firstLine="0"/>
    </w:pPr>
    <w:rPr>
      <w:i/>
    </w:rPr>
  </w:style>
  <w:style w:type="paragraph" w:styleId="728">
    <w:name w:val="Intense Quote"/>
    <w:basedOn w:val="678"/>
    <w:uiPriority w:val="30"/>
    <w:qFormat/>
    <w:pPr>
      <w:pBdr>
        <w:top w:val="single" w:color="FFFFFF" w:sz="4" w:space="5"/>
        <w:left w:val="single" w:color="FFFFFF" w:sz="4" w:space="10"/>
        <w:bottom w:val="single" w:color="FFFFFF" w:sz="4" w:space="5"/>
        <w:right w:val="single" w:color="FFFFFF" w:sz="4" w:space="10"/>
      </w:pBdr>
      <w:shd w:val="clear" w:color="auto" w:fill="f2f2f2"/>
      <w:spacing w:before="0" w:after="0"/>
      <w:ind w:left="720" w:right="720" w:firstLine="0"/>
    </w:pPr>
    <w:rPr>
      <w:i/>
    </w:rPr>
  </w:style>
  <w:style w:type="paragraph" w:styleId="729">
    <w:name w:val="footnote text"/>
    <w:basedOn w:val="678"/>
    <w:uiPriority w:val="99"/>
    <w:semiHidden/>
    <w:unhideWhenUsed/>
    <w:pPr>
      <w:spacing w:before="0" w:after="40" w:line="240" w:lineRule="auto"/>
    </w:pPr>
    <w:rPr>
      <w:sz w:val="18"/>
    </w:rPr>
  </w:style>
  <w:style w:type="paragraph" w:styleId="730">
    <w:name w:val="endnote text"/>
    <w:basedOn w:val="678"/>
    <w:uiPriority w:val="99"/>
    <w:semiHidden/>
    <w:unhideWhenUsed/>
    <w:pPr>
      <w:spacing w:before="0" w:after="0" w:line="240" w:lineRule="auto"/>
    </w:pPr>
    <w:rPr>
      <w:sz w:val="20"/>
    </w:rPr>
  </w:style>
  <w:style w:type="paragraph" w:styleId="731">
    <w:name w:val="toc 1"/>
    <w:basedOn w:val="678"/>
    <w:uiPriority w:val="39"/>
    <w:unhideWhenUsed/>
    <w:pPr>
      <w:spacing w:before="0" w:after="57"/>
    </w:pPr>
  </w:style>
  <w:style w:type="paragraph" w:styleId="732">
    <w:name w:val="toc 2"/>
    <w:basedOn w:val="678"/>
    <w:uiPriority w:val="39"/>
    <w:unhideWhenUsed/>
    <w:pPr>
      <w:spacing w:before="0" w:after="57"/>
      <w:ind w:left="283" w:firstLine="0"/>
    </w:pPr>
  </w:style>
  <w:style w:type="paragraph" w:styleId="733">
    <w:name w:val="toc 3"/>
    <w:basedOn w:val="678"/>
    <w:uiPriority w:val="39"/>
    <w:unhideWhenUsed/>
    <w:pPr>
      <w:spacing w:before="0" w:after="57"/>
      <w:ind w:left="567" w:firstLine="0"/>
    </w:pPr>
  </w:style>
  <w:style w:type="paragraph" w:styleId="734">
    <w:name w:val="toc 4"/>
    <w:basedOn w:val="678"/>
    <w:uiPriority w:val="39"/>
    <w:unhideWhenUsed/>
    <w:pPr>
      <w:spacing w:before="0" w:after="57"/>
      <w:ind w:left="850" w:firstLine="0"/>
    </w:pPr>
  </w:style>
  <w:style w:type="paragraph" w:styleId="735">
    <w:name w:val="toc 5"/>
    <w:basedOn w:val="678"/>
    <w:uiPriority w:val="39"/>
    <w:unhideWhenUsed/>
    <w:pPr>
      <w:spacing w:before="0" w:after="57"/>
      <w:ind w:left="1134" w:firstLine="0"/>
    </w:pPr>
  </w:style>
  <w:style w:type="paragraph" w:styleId="736">
    <w:name w:val="toc 6"/>
    <w:basedOn w:val="678"/>
    <w:uiPriority w:val="39"/>
    <w:unhideWhenUsed/>
    <w:pPr>
      <w:spacing w:before="0" w:after="57"/>
      <w:ind w:left="1417" w:firstLine="0"/>
    </w:pPr>
  </w:style>
  <w:style w:type="paragraph" w:styleId="737">
    <w:name w:val="toc 7"/>
    <w:basedOn w:val="678"/>
    <w:uiPriority w:val="39"/>
    <w:unhideWhenUsed/>
    <w:pPr>
      <w:spacing w:before="0" w:after="57"/>
      <w:ind w:left="1701" w:firstLine="0"/>
    </w:pPr>
  </w:style>
  <w:style w:type="paragraph" w:styleId="738">
    <w:name w:val="toc 8"/>
    <w:basedOn w:val="678"/>
    <w:uiPriority w:val="39"/>
    <w:unhideWhenUsed/>
    <w:pPr>
      <w:spacing w:before="0" w:after="57"/>
      <w:ind w:left="1984" w:firstLine="0"/>
    </w:pPr>
  </w:style>
  <w:style w:type="paragraph" w:styleId="739">
    <w:name w:val="toc 9"/>
    <w:basedOn w:val="678"/>
    <w:uiPriority w:val="39"/>
    <w:unhideWhenUsed/>
    <w:pPr>
      <w:spacing w:before="0" w:after="57"/>
      <w:ind w:left="2268" w:firstLine="0"/>
    </w:pPr>
  </w:style>
  <w:style w:type="paragraph" w:styleId="740">
    <w:name w:val="Index Heading"/>
    <w:basedOn w:val="718"/>
  </w:style>
  <w:style w:type="paragraph" w:styleId="741">
    <w:name w:val="TOC Heading"/>
    <w:uiPriority w:val="39"/>
    <w:unhideWhenUsed/>
    <w:qFormat/>
    <w:pPr>
      <w:widowControl/>
      <w:spacing w:before="0" w:after="0"/>
      <w:jc w:val="left"/>
    </w:pPr>
    <w:rPr>
      <w:rFonts w:ascii="Calibri" w:hAnsi="Calibri" w:eastAsia="Calibri" w:cs="Tahoma"/>
      <w:color w:val="auto"/>
      <w:sz w:val="22"/>
      <w:szCs w:val="22"/>
      <w:lang w:val="ru-RU" w:eastAsia="en-US" w:bidi="ar-SA"/>
    </w:rPr>
  </w:style>
  <w:style w:type="paragraph" w:styleId="742">
    <w:name w:val="table of figures"/>
    <w:basedOn w:val="678"/>
    <w:uiPriority w:val="99"/>
    <w:unhideWhenUsed/>
    <w:qFormat/>
    <w:pPr>
      <w:spacing w:before="0" w:after="0"/>
    </w:pPr>
  </w:style>
  <w:style w:type="paragraph" w:styleId="743" w:customStyle="1">
    <w:name w:val="caption1"/>
    <w:basedOn w:val="678"/>
    <w:qFormat/>
    <w:pPr>
      <w:suppressLineNumbers/>
      <w:spacing w:before="120" w:after="120"/>
    </w:pPr>
    <w:rPr>
      <w:rFonts w:ascii="PT Astra Serif" w:hAnsi="PT Astra Serif" w:cs="Noto Sans Devanagari"/>
      <w:i/>
      <w:iCs/>
      <w:sz w:val="24"/>
      <w:szCs w:val="24"/>
    </w:rPr>
  </w:style>
  <w:style w:type="paragraph" w:styleId="744" w:customStyle="1">
    <w:name w:val="index heading1"/>
    <w:basedOn w:val="678"/>
    <w:qFormat/>
    <w:pPr>
      <w:suppressLineNumbers/>
    </w:pPr>
    <w:rPr>
      <w:rFonts w:ascii="PT Astra Serif" w:hAnsi="PT Astra Serif" w:cs="Noto Sans Devanagari"/>
    </w:rPr>
  </w:style>
  <w:style w:type="paragraph" w:styleId="745" w:customStyle="1">
    <w:name w:val="Колонтитул"/>
    <w:basedOn w:val="678"/>
    <w:qFormat/>
  </w:style>
  <w:style w:type="paragraph" w:styleId="746">
    <w:name w:val="Header"/>
    <w:basedOn w:val="678"/>
    <w:pPr>
      <w:tabs>
        <w:tab w:val="clear" w:pos="708" w:leader="none"/>
        <w:tab w:val="center" w:pos="4677" w:leader="none"/>
        <w:tab w:val="right" w:pos="9355" w:leader="none"/>
      </w:tabs>
      <w:spacing w:before="0" w:after="0" w:line="240" w:lineRule="auto"/>
    </w:pPr>
  </w:style>
  <w:style w:type="paragraph" w:styleId="747">
    <w:name w:val="Footer"/>
    <w:basedOn w:val="678"/>
    <w:pPr>
      <w:tabs>
        <w:tab w:val="clear" w:pos="708" w:leader="none"/>
        <w:tab w:val="center" w:pos="4677" w:leader="none"/>
        <w:tab w:val="right" w:pos="9355" w:leader="none"/>
      </w:tabs>
      <w:spacing w:before="0" w:after="0" w:line="240" w:lineRule="auto"/>
    </w:pPr>
  </w:style>
  <w:style w:type="paragraph" w:styleId="748">
    <w:name w:val="Balloon Text"/>
    <w:basedOn w:val="678"/>
    <w:qFormat/>
    <w:pPr>
      <w:spacing w:before="0" w:after="0" w:line="240" w:lineRule="auto"/>
    </w:pPr>
    <w:rPr>
      <w:rFonts w:ascii="Segoe UI" w:hAnsi="Segoe UI" w:cs="Segoe UI"/>
      <w:sz w:val="18"/>
      <w:szCs w:val="18"/>
    </w:rPr>
  </w:style>
  <w:style w:type="paragraph" w:styleId="749">
    <w:name w:val="List Paragraph"/>
    <w:basedOn w:val="678"/>
    <w:qFormat/>
    <w:pPr>
      <w:spacing w:before="0" w:after="160"/>
      <w:ind w:left="720" w:firstLine="0"/>
      <w:contextualSpacing/>
    </w:pPr>
  </w:style>
  <w:style w:type="paragraph" w:styleId="750" w:customStyle="1">
    <w:name w:val="Содержимое таблицы"/>
    <w:basedOn w:val="678"/>
    <w:qFormat/>
    <w:pPr>
      <w:widowControl w:val="off"/>
      <w:suppressLineNumbers/>
    </w:pPr>
  </w:style>
  <w:style w:type="paragraph" w:styleId="751" w:customStyle="1">
    <w:name w:val="Заголовок таблицы"/>
    <w:basedOn w:val="750"/>
    <w:qFormat/>
    <w:pPr>
      <w:jc w:val="center"/>
    </w:pPr>
    <w:rPr>
      <w:b/>
      <w:bCs/>
    </w:rPr>
  </w:style>
  <w:style w:type="numbering" w:styleId="752" w:default="1">
    <w:name w:val="No List"/>
    <w:uiPriority w:val="99"/>
    <w:semiHidden/>
    <w:unhideWhenUsed/>
    <w:qFormat/>
  </w:style>
  <w:style w:type="table" w:styleId="753" w:default="1">
    <w:name w:val="Normal Table"/>
    <w:uiPriority w:val="99"/>
    <w:semiHidden/>
    <w:unhideWhenUsed/>
    <w:tblPr>
      <w:tblCellMar>
        <w:left w:w="108" w:type="dxa"/>
        <w:top w:w="0" w:type="dxa"/>
        <w:right w:w="108" w:type="dxa"/>
        <w:bottom w:w="0" w:type="dxa"/>
      </w:tblCellMar>
    </w:tblPr>
  </w:style>
  <w:style w:type="table" w:styleId="754">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5" w:customStyle="1">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56">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fill="ffffff" w:themeFill="text1" w:themeFillTint="00"/>
      </w:tcPr>
    </w:tblStylePr>
    <w:tblStylePr w:type="band1Vert">
      <w:tcPr>
        <w:shd w:val="clear" w:color="ffffff" w:fill="ffffff" w:themeFill="text1" w:themeFillTint="00"/>
      </w:tcPr>
    </w:tblStylePr>
    <w:tblStylePr w:type="firstCol">
      <w:rPr>
        <w:b/>
        <w:sz w:val="22"/>
      </w:rPr>
    </w:tblStylePr>
    <w:tblStylePr w:type="firstRow">
      <w:rPr>
        <w:b/>
        <w:sz w:val="22"/>
      </w:rPr>
    </w:tblStylePr>
    <w:tblStylePr w:type="lastCol">
      <w:rPr>
        <w:b/>
        <w:sz w:val="22"/>
      </w:rPr>
    </w:tblStylePr>
    <w:tblStylePr w:type="lastRow">
      <w:rPr>
        <w:b/>
        <w:sz w:val="22"/>
      </w:rPr>
    </w:tblStylePr>
  </w:style>
  <w:style w:type="table" w:styleId="757">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sz w:val="22"/>
      </w:rPr>
    </w:tblStylePr>
    <w:tblStylePr w:type="firstRow">
      <w:rPr>
        <w:b/>
        <w:sz w:val="22"/>
      </w:rPr>
      <w:tcPr>
        <w:tcBorders>
          <w:top w:val="single" w:color="000000" w:themeColor="text1" w:sz="4" w:space="0"/>
          <w:bottom w:val="single" w:color="000000" w:themeColor="text1" w:sz="4" w:space="0"/>
        </w:tcBorders>
      </w:tcPr>
    </w:tblStylePr>
    <w:tblStylePr w:type="lastCol">
      <w:rPr>
        <w:b/>
        <w:sz w:val="22"/>
      </w:rPr>
    </w:tblStylePr>
    <w:tblStylePr w:type="lastRow">
      <w:rPr>
        <w:b/>
        <w:sz w:val="22"/>
      </w:rPr>
    </w:tblStylePr>
  </w:style>
  <w:style w:type="table" w:styleId="758">
    <w:name w:val="Plain Table 3"/>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b/>
        <w:caps/>
      </w:rPr>
      <w:tcPr>
        <w:tcBorders>
          <w:top w:val="none" w:color="000000" w:sz="4" w:space="0"/>
          <w:left w:val="none" w:color="000000" w:sz="4" w:space="0"/>
          <w:bottom w:val="none" w:color="000000" w:sz="4" w:space="0"/>
          <w:right w:val="single" w:color="404040" w:sz="4" w:space="0"/>
        </w:tcBorders>
      </w:tcPr>
    </w:tblStylePr>
    <w:tblStylePr w:type="firstRow">
      <w:rPr>
        <w:b/>
        <w:caps/>
      </w:rPr>
      <w:tcPr>
        <w:tcBorders>
          <w:top w:val="none" w:color="000000" w:sz="4" w:space="0"/>
          <w:left w:val="none" w:color="000000" w:sz="4" w:space="0"/>
          <w:bottom w:val="single" w:color="404040" w:sz="4" w:space="0"/>
          <w:right w:val="none" w:color="000000" w:sz="4" w:space="0"/>
        </w:tcBorders>
      </w:tcPr>
    </w:tblStylePr>
    <w:tblStylePr w:type="lastCol">
      <w:rPr>
        <w:b/>
        <w:caps/>
      </w:rPr>
    </w:tblStylePr>
    <w:tblStylePr w:type="lastRow">
      <w:rPr>
        <w:b/>
        <w:caps/>
      </w:rPr>
    </w:tblStylePr>
  </w:style>
  <w:style w:type="table" w:styleId="759">
    <w:name w:val="Plain Table 4"/>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b/>
      </w:rPr>
    </w:tblStylePr>
    <w:tblStylePr w:type="firstRow">
      <w:rPr>
        <w:b/>
      </w:rPr>
    </w:tblStylePr>
    <w:tblStylePr w:type="lastCol">
      <w:rPr>
        <w:b/>
      </w:rPr>
    </w:tblStylePr>
    <w:tblStylePr w:type="lastRow">
      <w:rPr>
        <w:b/>
      </w:rPr>
    </w:tblStylePr>
  </w:style>
  <w:style w:type="table" w:styleId="760">
    <w:name w:val="Plain Table 5"/>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i/>
      </w:rPr>
      <w:pPr>
        <w:jc w:val="right"/>
      </w:pPr>
      <w:tcPr>
        <w:tcBorders>
          <w:right w:val="single" w:color="404040" w:sz="4" w:space="0"/>
        </w:tcBorders>
        <w:shd w:val="clear" w:color="ffffff" w:fill="auto"/>
      </w:tcPr>
    </w:tblStylePr>
    <w:tblStylePr w:type="firstRow">
      <w:rPr>
        <w:i/>
      </w:rPr>
      <w:tcPr>
        <w:tcBorders>
          <w:left w:val="none" w:color="000000" w:sz="4" w:space="0"/>
          <w:bottom w:val="single" w:color="404040" w:sz="4" w:space="0"/>
          <w:right w:val="none" w:color="000000" w:sz="4" w:space="0"/>
        </w:tcBorders>
        <w:shd w:val="clear" w:color="ffffff" w:fill="auto"/>
      </w:tcPr>
    </w:tblStylePr>
    <w:tblStylePr w:type="lastCol">
      <w:rPr>
        <w:i/>
      </w:rPr>
      <w:tcPr>
        <w:tcBorders>
          <w:left w:val="single" w:color="404040" w:sz="4" w:space="0"/>
        </w:tcBorders>
        <w:shd w:val="clear" w:color="ffffff" w:fill="auto"/>
      </w:tcPr>
    </w:tblStylePr>
    <w:tblStylePr w:type="lastRow">
      <w:rPr>
        <w:i/>
      </w:rPr>
      <w:tcPr>
        <w:tcBorders>
          <w:top w:val="single" w:color="404040" w:sz="4" w:space="0"/>
          <w:left w:val="none" w:color="000000" w:sz="4" w:space="0"/>
          <w:right w:val="none" w:color="000000" w:sz="4" w:space="0"/>
        </w:tcBorders>
        <w:shd w:val="clear" w:color="ffffff" w:fill="auto"/>
      </w:tcPr>
    </w:tblStylePr>
  </w:style>
  <w:style w:type="table" w:styleId="761">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StylePr>
    <w:tblStylePr w:type="firstRow">
      <w:rPr>
        <w:b/>
      </w:rPr>
      <w:tcPr>
        <w:tcBorders>
          <w:bottom w:val="single" w:color="000000" w:themeColor="text1" w:sz="12" w:space="0"/>
        </w:tcBorders>
      </w:tcPr>
    </w:tblStylePr>
    <w:tblStylePr w:type="lastCol">
      <w:rPr>
        <w:b/>
      </w:rPr>
    </w:tblStylePr>
    <w:tblStylePr w:type="lastRow">
      <w:rPr>
        <w:b/>
      </w:rPr>
    </w:tblStylePr>
  </w:style>
  <w:style w:type="table" w:styleId="762" w:customStyle="1">
    <w:name w:val="Grid Table 1 Light - Accent 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0" w:type="dxa"/>
        <w:top w:w="0" w:type="dxa"/>
        <w:right w:w="0" w:type="dxa"/>
        <w:bottom w:w="0" w:type="dxa"/>
      </w:tblCellMar>
    </w:tblPr>
    <w:tblStylePr w:type="band1Horz">
      <w:rPr>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firstCol">
      <w:rPr>
        <w:b/>
      </w:rPr>
    </w:tblStylePr>
    <w:tblStylePr w:type="firstRow">
      <w:rPr>
        <w:b/>
      </w:rPr>
      <w:tcPr>
        <w:tcBorders>
          <w:bottom w:val="single" w:color="5B9BD5" w:themeColor="accent1" w:sz="12" w:space="0"/>
        </w:tcBorders>
      </w:tcPr>
    </w:tblStylePr>
    <w:tblStylePr w:type="lastCol">
      <w:rPr>
        <w:b/>
      </w:rPr>
    </w:tblStylePr>
    <w:tblStylePr w:type="lastRow">
      <w:rPr>
        <w:b/>
      </w:rPr>
    </w:tblStylePr>
  </w:style>
  <w:style w:type="table" w:styleId="763" w:customStyle="1">
    <w:name w:val="Grid Table 1 Light - Accent 2"/>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top w:w="0" w:type="dxa"/>
        <w:right w:w="0" w:type="dxa"/>
        <w:bottom w:w="0" w:type="dxa"/>
      </w:tblCellMar>
    </w:tblPr>
    <w:tblStylePr w:type="band1Horz">
      <w:rPr>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firstCol">
      <w:rPr>
        <w:b/>
      </w:rPr>
    </w:tblStylePr>
    <w:tblStylePr w:type="firstRow">
      <w:rPr>
        <w:b/>
      </w:rPr>
      <w:tcPr>
        <w:tcBorders>
          <w:bottom w:val="single" w:color="ED7D31" w:themeColor="accent2" w:sz="12" w:space="0"/>
        </w:tcBorders>
      </w:tcPr>
    </w:tblStylePr>
    <w:tblStylePr w:type="lastCol">
      <w:rPr>
        <w:b/>
      </w:rPr>
    </w:tblStylePr>
    <w:tblStylePr w:type="lastRow">
      <w:rPr>
        <w:b/>
      </w:rPr>
    </w:tblStylePr>
  </w:style>
  <w:style w:type="table" w:styleId="764" w:customStyle="1">
    <w:name w:val="Grid Table 1 Light - Accent 3"/>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top w:w="0" w:type="dxa"/>
        <w:right w:w="0" w:type="dxa"/>
        <w:bottom w:w="0" w:type="dxa"/>
      </w:tblCellMar>
    </w:tblPr>
    <w:tblStylePr w:type="band1Horz">
      <w:rPr>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firstCol">
      <w:rPr>
        <w:b/>
      </w:rPr>
    </w:tblStylePr>
    <w:tblStylePr w:type="firstRow">
      <w:rPr>
        <w:b/>
      </w:rPr>
      <w:tcPr>
        <w:tcBorders>
          <w:bottom w:val="single" w:color="A5A5A5" w:themeColor="accent3" w:sz="12" w:space="0"/>
        </w:tcBorders>
      </w:tcPr>
    </w:tblStylePr>
    <w:tblStylePr w:type="lastCol">
      <w:rPr>
        <w:b/>
      </w:rPr>
    </w:tblStylePr>
    <w:tblStylePr w:type="lastRow">
      <w:rPr>
        <w:b/>
      </w:rPr>
    </w:tblStylePr>
  </w:style>
  <w:style w:type="table" w:styleId="765" w:customStyle="1">
    <w:name w:val="Grid Table 1 Light - Accent 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top w:w="0" w:type="dxa"/>
        <w:right w:w="0" w:type="dxa"/>
        <w:bottom w:w="0" w:type="dxa"/>
      </w:tblCellMar>
    </w:tblPr>
    <w:tblStylePr w:type="band1Horz">
      <w:rPr>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firstCol">
      <w:rPr>
        <w:b/>
      </w:rPr>
    </w:tblStylePr>
    <w:tblStylePr w:type="firstRow">
      <w:rPr>
        <w:b/>
      </w:rPr>
      <w:tcPr>
        <w:tcBorders>
          <w:bottom w:val="single" w:color="FFC000" w:themeColor="accent4" w:sz="12" w:space="0"/>
        </w:tcBorders>
      </w:tcPr>
    </w:tblStylePr>
    <w:tblStylePr w:type="lastCol">
      <w:rPr>
        <w:b/>
      </w:rPr>
    </w:tblStylePr>
    <w:tblStylePr w:type="lastRow">
      <w:rPr>
        <w:b/>
      </w:rPr>
    </w:tblStylePr>
  </w:style>
  <w:style w:type="table" w:styleId="766" w:customStyle="1">
    <w:name w:val="Grid Table 1 Light - Accent 5"/>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0" w:type="dxa"/>
        <w:top w:w="0" w:type="dxa"/>
        <w:right w:w="0" w:type="dxa"/>
        <w:bottom w:w="0" w:type="dxa"/>
      </w:tblCellMar>
    </w:tblPr>
    <w:tblStylePr w:type="band1Horz">
      <w:rPr>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firstCol">
      <w:rPr>
        <w:b/>
      </w:rPr>
    </w:tblStylePr>
    <w:tblStylePr w:type="firstRow">
      <w:rPr>
        <w:b/>
      </w:rPr>
      <w:tcPr>
        <w:tcBorders>
          <w:bottom w:val="single" w:color="4472C4" w:themeColor="accent5" w:sz="12" w:space="0"/>
        </w:tcBorders>
      </w:tcPr>
    </w:tblStylePr>
    <w:tblStylePr w:type="lastCol">
      <w:rPr>
        <w:b/>
      </w:rPr>
    </w:tblStylePr>
    <w:tblStylePr w:type="lastRow">
      <w:rPr>
        <w:b/>
      </w:rPr>
    </w:tblStylePr>
  </w:style>
  <w:style w:type="table" w:styleId="767" w:customStyle="1">
    <w:name w:val="Grid Table 1 Light - Accent 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top w:w="0" w:type="dxa"/>
        <w:right w:w="0" w:type="dxa"/>
        <w:bottom w:w="0" w:type="dxa"/>
      </w:tblCellMar>
    </w:tblPr>
    <w:tblStylePr w:type="band1Horz">
      <w:rPr>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firstCol">
      <w:rPr>
        <w:b/>
      </w:rPr>
    </w:tblStylePr>
    <w:tblStylePr w:type="firstRow">
      <w:rPr>
        <w:b/>
      </w:rPr>
      <w:tcPr>
        <w:tcBorders>
          <w:bottom w:val="single" w:color="70AD47" w:themeColor="accent6" w:sz="12" w:space="0"/>
        </w:tcBorders>
      </w:tcPr>
    </w:tblStylePr>
    <w:tblStylePr w:type="lastCol">
      <w:rPr>
        <w:b/>
      </w:rPr>
    </w:tblStylePr>
    <w:tblStylePr w:type="lastRow">
      <w:rPr>
        <w:b/>
      </w:rPr>
    </w:tblStylePr>
  </w:style>
  <w:style w:type="table" w:styleId="768">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r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Col">
      <w:rPr>
        <w:b/>
      </w:rPr>
    </w:tblStylePr>
    <w:tblStylePr w:type="lastRow">
      <w:rPr>
        <w:b/>
      </w:rPr>
      <w:tcPr>
        <w:tcBorders>
          <w:top w:val="single" w:color="000000" w:themeColor="text1" w:sz="4" w:space="0"/>
          <w:left w:val="none" w:color="000000" w:sz="4" w:space="0"/>
          <w:bottom w:val="none" w:color="000000" w:sz="4" w:space="0"/>
          <w:right w:val="none" w:color="000000" w:sz="4" w:space="0"/>
        </w:tcBorders>
        <w:shd w:val="clear" w:color="ffffff" w:fill="auto"/>
      </w:tcPr>
    </w:tblStylePr>
  </w:style>
  <w:style w:type="table" w:styleId="769" w:customStyle="1">
    <w:name w:val="Grid Table 2 - Accent 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left w:w="0" w:type="dxa"/>
        <w:top w:w="0" w:type="dxa"/>
        <w:right w:w="0" w:type="dxa"/>
        <w:bottom w:w="0" w:type="dxa"/>
      </w:tblCellMar>
    </w:tblPr>
    <w:tblStylePr w:type="band1Horz">
      <w:rPr>
        <w:sz w:val="22"/>
      </w:rPr>
      <w:tcPr>
        <w:shd w:val="clear" w:color="ffffff" w:fill="ddeaf6" w:themeFill="accent1" w:themeFillTint="34"/>
      </w:tcPr>
    </w:tblStylePr>
    <w:tblStylePr w:type="band1Vert">
      <w:rPr>
        <w:sz w:val="22"/>
      </w:rPr>
      <w:tcPr>
        <w:shd w:val="clear" w:color="ffffff" w:fill="ddeaf6" w:themeFill="accent1" w:themeFillTint="34"/>
      </w:tcPr>
    </w:tblStylePr>
    <w:tblStylePr w:type="firstCol">
      <w:rPr>
        <w:b/>
      </w:rPr>
    </w:tblStylePr>
    <w:tblStylePr w:type="firstRow">
      <w:rPr>
        <w:b/>
      </w:rPr>
      <w:tcPr>
        <w:tcBorders>
          <w:top w:val="none" w:color="000000" w:sz="4" w:space="0"/>
          <w:left w:val="none" w:color="000000" w:sz="4" w:space="0"/>
          <w:bottom w:val="single" w:color="5B9BD5" w:themeColor="accent1" w:sz="12" w:space="0"/>
          <w:right w:val="none" w:color="000000" w:sz="4" w:space="0"/>
        </w:tcBorders>
        <w:shd w:val="clear" w:color="ffffff" w:fill="auto"/>
      </w:tcPr>
    </w:tblStylePr>
    <w:tblStylePr w:type="lastCol">
      <w:rPr>
        <w:b/>
      </w:rPr>
    </w:tblStylePr>
    <w:tblStylePr w:type="lastRow">
      <w:rPr>
        <w:b/>
      </w:rPr>
      <w:tcPr>
        <w:tcBorders>
          <w:top w:val="single" w:color="5B9BD5" w:themeColor="accent1" w:sz="4" w:space="0"/>
          <w:left w:val="none" w:color="000000" w:sz="4" w:space="0"/>
          <w:bottom w:val="none" w:color="000000" w:sz="4" w:space="0"/>
          <w:right w:val="none" w:color="000000" w:sz="4" w:space="0"/>
        </w:tcBorders>
        <w:shd w:val="clear" w:color="ffffff" w:fill="auto"/>
      </w:tcPr>
    </w:tblStylePr>
  </w:style>
  <w:style w:type="table" w:styleId="770" w:customStyle="1">
    <w:name w:val="Grid Table 2 - Accent 2"/>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r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Col">
      <w:rPr>
        <w:b/>
      </w:rPr>
    </w:tblStylePr>
    <w:tblStylePr w:type="lastRow">
      <w:rPr>
        <w:b/>
      </w:rPr>
      <w:tcPr>
        <w:tcBorders>
          <w:top w:val="single" w:color="ED7D31" w:themeColor="accent2" w:sz="4" w:space="0"/>
          <w:left w:val="none" w:color="000000" w:sz="4" w:space="0"/>
          <w:bottom w:val="none" w:color="000000" w:sz="4" w:space="0"/>
          <w:right w:val="none" w:color="000000" w:sz="4" w:space="0"/>
        </w:tcBorders>
        <w:shd w:val="clear" w:color="ffffff" w:fill="auto"/>
      </w:tcPr>
    </w:tblStylePr>
  </w:style>
  <w:style w:type="table" w:styleId="771" w:customStyle="1">
    <w:name w:val="Grid Table 2 - Accent 3"/>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b/>
      </w:rPr>
    </w:tblStylePr>
    <w:tblStylePr w:type="firstRow">
      <w:rPr>
        <w:b/>
      </w:r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Col">
      <w:rPr>
        <w:b/>
      </w:rPr>
    </w:tblStylePr>
    <w:tblStylePr w:type="lastRow">
      <w:rPr>
        <w:b/>
      </w:rPr>
      <w:tcPr>
        <w:tcBorders>
          <w:top w:val="single" w:color="A5A5A5" w:themeColor="accent3" w:sz="4" w:space="0"/>
          <w:left w:val="none" w:color="000000" w:sz="4" w:space="0"/>
          <w:bottom w:val="none" w:color="000000" w:sz="4" w:space="0"/>
          <w:right w:val="none" w:color="000000" w:sz="4" w:space="0"/>
        </w:tcBorders>
        <w:shd w:val="clear" w:color="ffffff" w:fill="auto"/>
      </w:tcPr>
    </w:tblStylePr>
  </w:style>
  <w:style w:type="table" w:styleId="772" w:customStyle="1">
    <w:name w:val="Grid Table 2 - Accent 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b/>
      </w:rPr>
    </w:tblStylePr>
    <w:tblStylePr w:type="firstRow">
      <w:rPr>
        <w:b/>
      </w:r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Col">
      <w:rPr>
        <w:b/>
      </w:rPr>
    </w:tblStylePr>
    <w:tblStylePr w:type="lastRow">
      <w:rPr>
        <w:b/>
      </w:rPr>
      <w:tcPr>
        <w:tcBorders>
          <w:top w:val="single" w:color="FFC000" w:themeColor="accent4" w:sz="4" w:space="0"/>
          <w:left w:val="none" w:color="000000" w:sz="4" w:space="0"/>
          <w:bottom w:val="none" w:color="000000" w:sz="4" w:space="0"/>
          <w:right w:val="none" w:color="000000" w:sz="4" w:space="0"/>
        </w:tcBorders>
        <w:shd w:val="clear" w:color="ffffff" w:fill="auto"/>
      </w:tcPr>
    </w:tblStylePr>
  </w:style>
  <w:style w:type="table" w:styleId="773" w:customStyle="1">
    <w:name w:val="Grid Table 2 - Accent 5"/>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b/>
      </w:rPr>
    </w:tblStylePr>
    <w:tblStylePr w:type="firstRow">
      <w:rPr>
        <w:b/>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Col">
      <w:rPr>
        <w:b/>
      </w:rPr>
    </w:tblStylePr>
    <w:tblStylePr w:type="lastRow">
      <w:rPr>
        <w:b/>
      </w:rPr>
      <w:tcPr>
        <w:tcBorders>
          <w:top w:val="single" w:color="4472C4" w:themeColor="accent5" w:sz="4" w:space="0"/>
          <w:left w:val="none" w:color="000000" w:sz="4" w:space="0"/>
          <w:bottom w:val="none" w:color="000000" w:sz="4" w:space="0"/>
          <w:right w:val="none" w:color="000000" w:sz="4" w:space="0"/>
        </w:tcBorders>
        <w:shd w:val="clear" w:color="ffffff" w:fill="auto"/>
      </w:tcPr>
    </w:tblStylePr>
  </w:style>
  <w:style w:type="table" w:styleId="774" w:customStyle="1">
    <w:name w:val="Grid Table 2 - Accent 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b/>
      </w:rPr>
    </w:tblStylePr>
    <w:tblStylePr w:type="firstRow">
      <w:rPr>
        <w:b/>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Col">
      <w:rPr>
        <w:b/>
      </w:rPr>
    </w:tblStylePr>
    <w:tblStylePr w:type="lastRow">
      <w:rPr>
        <w:b/>
      </w:rPr>
      <w:tcPr>
        <w:tcBorders>
          <w:top w:val="single" w:color="70AD47" w:themeColor="accent6" w:sz="4" w:space="0"/>
          <w:left w:val="none" w:color="000000" w:sz="4" w:space="0"/>
          <w:bottom w:val="none" w:color="000000" w:sz="4" w:space="0"/>
          <w:right w:val="none" w:color="000000" w:sz="4" w:space="0"/>
        </w:tcBorders>
        <w:shd w:val="clear" w:color="ffffff" w:fill="auto"/>
      </w:tcPr>
    </w:tblStylePr>
  </w:style>
  <w:style w:type="table" w:styleId="775">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6" w:customStyle="1">
    <w:name w:val="Grid Table 3 - Accent 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left w:w="0" w:type="dxa"/>
        <w:top w:w="0" w:type="dxa"/>
        <w:right w:w="0" w:type="dxa"/>
        <w:bottom w:w="0" w:type="dxa"/>
      </w:tblCellMar>
    </w:tblPr>
    <w:tblStylePr w:type="band1Horz">
      <w:rPr>
        <w:sz w:val="22"/>
      </w:rPr>
      <w:tcPr>
        <w:shd w:val="clear" w:color="ffffff" w:fill="ddeaf6" w:themeFill="accent1" w:themeFillTint="34"/>
      </w:tcPr>
    </w:tblStylePr>
    <w:tblStylePr w:type="band1Vert">
      <w:rPr>
        <w:sz w:val="22"/>
      </w:rPr>
      <w:tcPr>
        <w:shd w:val="clear" w:color="ffffff" w:fill="ddeaf6" w:themeFill="accent1"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7" w:customStyle="1">
    <w:name w:val="Grid Table 3 - Accent 2"/>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8" w:customStyle="1">
    <w:name w:val="Grid Table 3 - Accent 3"/>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79" w:customStyle="1">
    <w:name w:val="Grid Table 3 - Accent 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0" w:customStyle="1">
    <w:name w:val="Grid Table 3 - Accent 5"/>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1" w:customStyle="1">
    <w:name w:val="Grid Table 3 - Accent 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2">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StylePr>
    <w:tblStylePr w:type="lastRow">
      <w:rPr>
        <w:b/>
      </w:rPr>
      <w:tcPr>
        <w:tcBorders>
          <w:top w:val="single" w:color="000000" w:themeColor="text1" w:sz="4" w:space="0"/>
        </w:tcBorders>
      </w:tcPr>
    </w:tblStylePr>
  </w:style>
  <w:style w:type="table" w:styleId="783" w:customStyle="1">
    <w:name w:val="Grid Table 4 - Accent 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0" w:type="dxa"/>
        <w:top w:w="0" w:type="dxa"/>
        <w:right w:w="0" w:type="dxa"/>
        <w:bottom w:w="0" w:type="dxa"/>
      </w:tblCellMar>
    </w:tblPr>
    <w:tblStylePr w:type="band1Horz">
      <w:rPr>
        <w:sz w:val="22"/>
      </w:rPr>
      <w:tcPr>
        <w:shd w:val="clear" w:color="ffffff" w:fill="deebf6" w:themeFill="accent1" w:themeFillTint="32"/>
      </w:tcPr>
    </w:tblStylePr>
    <w:tblStylePr w:type="band1Vert">
      <w:rPr>
        <w:sz w:val="22"/>
      </w:rPr>
      <w:tcPr>
        <w:shd w:val="clear" w:color="ffffff" w:fill="deebf6" w:themeFill="accent1" w:themeFillTint="32"/>
      </w:tcPr>
    </w:tblStylePr>
    <w:tblStylePr w:type="firstCol">
      <w:rPr>
        <w:b/>
      </w:rPr>
    </w:tblStylePr>
    <w:tblStylePr w:type="firstRow">
      <w:rPr>
        <w:b/>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ffffff" w:fill="68a2d8" w:themeFill="accent1" w:themeFillTint="EA"/>
      </w:tcPr>
    </w:tblStylePr>
    <w:tblStylePr w:type="lastCol">
      <w:rPr>
        <w:b/>
      </w:rPr>
    </w:tblStylePr>
    <w:tblStylePr w:type="lastRow">
      <w:rPr>
        <w:b/>
      </w:rPr>
      <w:tcPr>
        <w:tcBorders>
          <w:top w:val="single" w:color="5B9BD5" w:themeColor="accent1" w:sz="4" w:space="0"/>
        </w:tcBorders>
      </w:tcPr>
    </w:tblStylePr>
  </w:style>
  <w:style w:type="table" w:styleId="784" w:customStyle="1">
    <w:name w:val="Grid Table 4 - Accent 2"/>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fffff" w:fill="f4b184" w:themeFill="accent2" w:themeFillTint="97"/>
      </w:tcPr>
    </w:tblStylePr>
    <w:tblStylePr w:type="lastCol">
      <w:rPr>
        <w:b/>
      </w:rPr>
    </w:tblStylePr>
    <w:tblStylePr w:type="lastRow">
      <w:rPr>
        <w:b/>
      </w:rPr>
      <w:tcPr>
        <w:tcBorders>
          <w:top w:val="single" w:color="ED7D31" w:themeColor="accent2" w:sz="4" w:space="0"/>
        </w:tcBorders>
      </w:tcPr>
    </w:tblStylePr>
  </w:style>
  <w:style w:type="table" w:styleId="785" w:customStyle="1">
    <w:name w:val="Grid Table 4 - Accent 3"/>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b/>
      </w:rPr>
    </w:tblStylePr>
    <w:tblStylePr w:type="firstRow">
      <w:rPr>
        <w:b/>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ffffff" w:fill="a5a5a5" w:themeFill="accent3" w:themeFillTint="FE"/>
      </w:tcPr>
    </w:tblStylePr>
    <w:tblStylePr w:type="lastCol">
      <w:rPr>
        <w:b/>
      </w:rPr>
    </w:tblStylePr>
    <w:tblStylePr w:type="lastRow">
      <w:rPr>
        <w:b/>
      </w:rPr>
      <w:tcPr>
        <w:tcBorders>
          <w:top w:val="single" w:color="A5A5A5" w:themeColor="accent3" w:sz="4" w:space="0"/>
        </w:tcBorders>
      </w:tcPr>
    </w:tblStylePr>
  </w:style>
  <w:style w:type="table" w:styleId="786" w:customStyle="1">
    <w:name w:val="Grid Table 4 - Accent 4"/>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b/>
      </w:rPr>
    </w:tblStylePr>
    <w:tblStylePr w:type="firstRow">
      <w:rPr>
        <w:b/>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ffff" w:fill="ffd865" w:themeFill="accent4" w:themeFillTint="9A"/>
      </w:tcPr>
    </w:tblStylePr>
    <w:tblStylePr w:type="lastCol">
      <w:rPr>
        <w:b/>
      </w:rPr>
    </w:tblStylePr>
    <w:tblStylePr w:type="lastRow">
      <w:rPr>
        <w:b/>
      </w:rPr>
      <w:tcPr>
        <w:tcBorders>
          <w:top w:val="single" w:color="FFC000" w:themeColor="accent4" w:sz="4" w:space="0"/>
        </w:tcBorders>
      </w:tcPr>
    </w:tblStylePr>
  </w:style>
  <w:style w:type="table" w:styleId="787" w:customStyle="1">
    <w:name w:val="Grid Table 4 - Accent 5"/>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b/>
      </w:rPr>
    </w:tblStylePr>
    <w:tblStylePr w:type="firstRow">
      <w:rPr>
        <w:b/>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ffffff" w:fill="4472c4" w:themeFill="accent5"/>
      </w:tcPr>
    </w:tblStylePr>
    <w:tblStylePr w:type="lastCol">
      <w:rPr>
        <w:b/>
      </w:rPr>
    </w:tblStylePr>
    <w:tblStylePr w:type="lastRow">
      <w:rPr>
        <w:b/>
      </w:rPr>
      <w:tcPr>
        <w:tcBorders>
          <w:top w:val="single" w:color="4472C4" w:themeColor="accent5" w:sz="4" w:space="0"/>
        </w:tcBorders>
      </w:tcPr>
    </w:tblStylePr>
  </w:style>
  <w:style w:type="table" w:styleId="788" w:customStyle="1">
    <w:name w:val="Grid Table 4 - Accent 6"/>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b/>
      </w:rPr>
    </w:tblStylePr>
    <w:tblStylePr w:type="firstRow">
      <w:rPr>
        <w:b/>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ffffff" w:fill="70ad47" w:themeFill="accent6"/>
      </w:tcPr>
    </w:tblStylePr>
    <w:tblStylePr w:type="lastCol">
      <w:rPr>
        <w:b/>
      </w:rPr>
    </w:tblStylePr>
    <w:tblStylePr w:type="lastRow">
      <w:rPr>
        <w:b/>
      </w:rPr>
      <w:tcPr>
        <w:tcBorders>
          <w:top w:val="single" w:color="70AD47" w:themeColor="accent6" w:sz="4" w:space="0"/>
        </w:tcBorders>
      </w:tcPr>
    </w:tblStylePr>
  </w:style>
  <w:style w:type="table" w:styleId="789">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sz w:val="22"/>
      </w:rPr>
      <w:tcPr>
        <w:shd w:val="clear" w:color="ffffff" w:fill="000000" w:themeFill="text1"/>
      </w:tcPr>
    </w:tblStylePr>
    <w:tblStylePr w:type="firstRow">
      <w:rPr>
        <w:b/>
        <w:sz w:val="22"/>
      </w:rPr>
      <w:tcPr>
        <w:shd w:val="clear" w:color="ffffff" w:fill="000000" w:themeFill="text1"/>
      </w:tcPr>
    </w:tblStylePr>
    <w:tblStylePr w:type="lastCol">
      <w:rPr>
        <w:b/>
        <w:sz w:val="22"/>
      </w:rPr>
      <w:tcPr>
        <w:shd w:val="clear" w:color="ffffff" w:fill="000000" w:themeFill="text1"/>
      </w:tcPr>
    </w:tblStylePr>
    <w:tblStylePr w:type="lastRow">
      <w:rPr>
        <w:b/>
        <w:sz w:val="22"/>
      </w:rPr>
      <w:tcPr>
        <w:tcBorders>
          <w:top w:val="single" w:color="FFFFFF" w:themeColor="light1" w:sz="4" w:space="0"/>
        </w:tcBorders>
        <w:shd w:val="clear" w:color="ffffff" w:fill="000000" w:themeFill="text1"/>
      </w:tcPr>
    </w:tblStylePr>
  </w:style>
  <w:style w:type="table" w:styleId="790" w:customStyle="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b3d0eb" w:themeFill="accent1" w:themeFillTint="75"/>
      </w:tcPr>
    </w:tblStylePr>
    <w:tblStylePr w:type="band1Vert">
      <w:tcPr>
        <w:shd w:val="clear" w:color="ffffff" w:fill="b3d0eb" w:themeFill="accent1" w:themeFillTint="75"/>
      </w:tcPr>
    </w:tblStylePr>
    <w:tblStylePr w:type="firstCol">
      <w:rPr>
        <w:b/>
        <w:sz w:val="22"/>
      </w:rPr>
      <w:tcPr>
        <w:shd w:val="clear" w:color="ffffff" w:fill="5b9bd5" w:themeFill="accent1"/>
      </w:tcPr>
    </w:tblStylePr>
    <w:tblStylePr w:type="firstRow">
      <w:rPr>
        <w:b/>
        <w:sz w:val="22"/>
      </w:rPr>
      <w:tcPr>
        <w:shd w:val="clear" w:color="ffffff" w:fill="5b9bd5" w:themeFill="accent1"/>
      </w:tcPr>
    </w:tblStylePr>
    <w:tblStylePr w:type="lastCol">
      <w:rPr>
        <w:b/>
        <w:sz w:val="22"/>
      </w:rPr>
      <w:tcPr>
        <w:shd w:val="clear" w:color="ffffff" w:fill="5b9bd5" w:themeFill="accent1"/>
      </w:tcPr>
    </w:tblStylePr>
    <w:tblStylePr w:type="lastRow">
      <w:rPr>
        <w:b/>
        <w:sz w:val="22"/>
      </w:rPr>
      <w:tcPr>
        <w:tcBorders>
          <w:top w:val="single" w:color="FFFFFF" w:themeColor="light1" w:sz="4" w:space="0"/>
        </w:tcBorders>
        <w:shd w:val="clear" w:color="ffffff" w:fill="5b9bd5" w:themeFill="accent1"/>
      </w:tcPr>
    </w:tblStylePr>
  </w:style>
  <w:style w:type="table" w:styleId="791" w:customStyle="1">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6c3a0" w:themeFill="accent2" w:themeFillTint="75"/>
      </w:tcPr>
    </w:tblStylePr>
    <w:tblStylePr w:type="band1Vert">
      <w:tcPr>
        <w:shd w:val="clear" w:color="ffffff" w:fill="f6c3a0" w:themeFill="accent2" w:themeFillTint="75"/>
      </w:tcPr>
    </w:tblStylePr>
    <w:tblStylePr w:type="firstCol">
      <w:rPr>
        <w:b/>
        <w:sz w:val="22"/>
      </w:rPr>
      <w:tcPr>
        <w:shd w:val="clear" w:color="ffffff" w:fill="ed7d31" w:themeFill="accent2"/>
      </w:tcPr>
    </w:tblStylePr>
    <w:tblStylePr w:type="firstRow">
      <w:rPr>
        <w:b/>
        <w:sz w:val="22"/>
      </w:rPr>
      <w:tcPr>
        <w:shd w:val="clear" w:color="ffffff" w:fill="ed7d31" w:themeFill="accent2"/>
      </w:tcPr>
    </w:tblStylePr>
    <w:tblStylePr w:type="lastCol">
      <w:rPr>
        <w:b/>
        <w:sz w:val="22"/>
      </w:rPr>
      <w:tcPr>
        <w:shd w:val="clear" w:color="ffffff" w:fill="ed7d31" w:themeFill="accent2"/>
      </w:tcPr>
    </w:tblStylePr>
    <w:tblStylePr w:type="lastRow">
      <w:rPr>
        <w:b/>
        <w:sz w:val="22"/>
      </w:rPr>
      <w:tcPr>
        <w:tcBorders>
          <w:top w:val="single" w:color="FFFFFF" w:themeColor="light1" w:sz="4" w:space="0"/>
        </w:tcBorders>
        <w:shd w:val="clear" w:color="ffffff" w:fill="ed7d31" w:themeFill="accent2"/>
      </w:tcPr>
    </w:tblStylePr>
  </w:style>
  <w:style w:type="table" w:styleId="792" w:customStyle="1">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d5d5d5" w:themeFill="accent3" w:themeFillTint="75"/>
      </w:tcPr>
    </w:tblStylePr>
    <w:tblStylePr w:type="band1Vert">
      <w:tcPr>
        <w:shd w:val="clear" w:color="ffffff" w:fill="d5d5d5" w:themeFill="accent3" w:themeFillTint="75"/>
      </w:tcPr>
    </w:tblStylePr>
    <w:tblStylePr w:type="firstCol">
      <w:rPr>
        <w:b/>
        <w:sz w:val="22"/>
      </w:rPr>
      <w:tcPr>
        <w:shd w:val="clear" w:color="ffffff" w:fill="a5a5a5" w:themeFill="accent3"/>
      </w:tcPr>
    </w:tblStylePr>
    <w:tblStylePr w:type="firstRow">
      <w:rPr>
        <w:b/>
        <w:sz w:val="22"/>
      </w:rPr>
      <w:tcPr>
        <w:shd w:val="clear" w:color="ffffff" w:fill="a5a5a5" w:themeFill="accent3"/>
      </w:tcPr>
    </w:tblStylePr>
    <w:tblStylePr w:type="lastCol">
      <w:rPr>
        <w:b/>
        <w:sz w:val="22"/>
      </w:rPr>
      <w:tcPr>
        <w:shd w:val="clear" w:color="ffffff" w:fill="a5a5a5" w:themeFill="accent3"/>
      </w:tcPr>
    </w:tblStylePr>
    <w:tblStylePr w:type="lastRow">
      <w:rPr>
        <w:b/>
        <w:sz w:val="22"/>
      </w:rPr>
      <w:tcPr>
        <w:tcBorders>
          <w:top w:val="single" w:color="FFFFFF" w:themeColor="light1" w:sz="4" w:space="0"/>
        </w:tcBorders>
        <w:shd w:val="clear" w:color="ffffff" w:fill="a5a5a5" w:themeFill="accent3"/>
      </w:tcPr>
    </w:tblStylePr>
  </w:style>
  <w:style w:type="table" w:styleId="793" w:customStyle="1">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fe28a" w:themeFill="accent4" w:themeFillTint="75"/>
      </w:tcPr>
    </w:tblStylePr>
    <w:tblStylePr w:type="band1Vert">
      <w:tcPr>
        <w:shd w:val="clear" w:color="ffffff" w:fill="ffe28a" w:themeFill="accent4" w:themeFillTint="75"/>
      </w:tcPr>
    </w:tblStylePr>
    <w:tblStylePr w:type="firstCol">
      <w:rPr>
        <w:b/>
        <w:sz w:val="22"/>
      </w:rPr>
      <w:tcPr>
        <w:shd w:val="clear" w:color="ffffff" w:fill="ffc000" w:themeFill="accent4"/>
      </w:tcPr>
    </w:tblStylePr>
    <w:tblStylePr w:type="firstRow">
      <w:rPr>
        <w:b/>
        <w:sz w:val="22"/>
      </w:rPr>
      <w:tcPr>
        <w:shd w:val="clear" w:color="ffffff" w:fill="ffc000" w:themeFill="accent4"/>
      </w:tcPr>
    </w:tblStylePr>
    <w:tblStylePr w:type="lastCol">
      <w:rPr>
        <w:b/>
        <w:sz w:val="22"/>
      </w:rPr>
      <w:tcPr>
        <w:shd w:val="clear" w:color="ffffff" w:fill="ffc000" w:themeFill="accent4"/>
      </w:tcPr>
    </w:tblStylePr>
    <w:tblStylePr w:type="lastRow">
      <w:rPr>
        <w:b/>
        <w:sz w:val="22"/>
      </w:rPr>
      <w:tcPr>
        <w:tcBorders>
          <w:top w:val="single" w:color="FFFFFF" w:themeColor="light1" w:sz="4" w:space="0"/>
        </w:tcBorders>
        <w:shd w:val="clear" w:color="ffffff" w:fill="ffc000" w:themeFill="accent4"/>
      </w:tcPr>
    </w:tblStylePr>
  </w:style>
  <w:style w:type="table" w:styleId="794" w:customStyle="1">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a9bee4" w:themeFill="accent5" w:themeFillTint="75"/>
      </w:tcPr>
    </w:tblStylePr>
    <w:tblStylePr w:type="band1Vert">
      <w:tcPr>
        <w:shd w:val="clear" w:color="ffffff" w:fill="a9bee4" w:themeFill="accent5" w:themeFillTint="75"/>
      </w:tcPr>
    </w:tblStylePr>
    <w:tblStylePr w:type="firstCol">
      <w:rPr>
        <w:b/>
        <w:sz w:val="22"/>
      </w:rPr>
      <w:tcPr>
        <w:shd w:val="clear" w:color="ffffff" w:fill="4472c4" w:themeFill="accent5"/>
      </w:tcPr>
    </w:tblStylePr>
    <w:tblStylePr w:type="firstRow">
      <w:rPr>
        <w:b/>
        <w:sz w:val="22"/>
      </w:rPr>
      <w:tcPr>
        <w:shd w:val="clear" w:color="ffffff" w:fill="4472c4" w:themeFill="accent5"/>
      </w:tcPr>
    </w:tblStylePr>
    <w:tblStylePr w:type="lastCol">
      <w:rPr>
        <w:b/>
        <w:sz w:val="22"/>
      </w:rPr>
      <w:tcPr>
        <w:shd w:val="clear" w:color="ffffff" w:fill="4472c4" w:themeFill="accent5"/>
      </w:tcPr>
    </w:tblStylePr>
    <w:tblStylePr w:type="lastRow">
      <w:rPr>
        <w:b/>
        <w:sz w:val="22"/>
      </w:rPr>
      <w:tcPr>
        <w:tcBorders>
          <w:top w:val="single" w:color="FFFFFF" w:themeColor="light1" w:sz="4" w:space="0"/>
        </w:tcBorders>
        <w:shd w:val="clear" w:color="ffffff" w:fill="4472c4" w:themeFill="accent5"/>
      </w:tcPr>
    </w:tblStylePr>
  </w:style>
  <w:style w:type="table" w:styleId="795" w:customStyle="1">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bcdba8" w:themeFill="accent6" w:themeFillTint="75"/>
      </w:tcPr>
    </w:tblStylePr>
    <w:tblStylePr w:type="band1Vert">
      <w:tcPr>
        <w:shd w:val="clear" w:color="ffffff" w:fill="bcdba8" w:themeFill="accent6" w:themeFillTint="75"/>
      </w:tcPr>
    </w:tblStylePr>
    <w:tblStylePr w:type="firstCol">
      <w:rPr>
        <w:b/>
        <w:sz w:val="22"/>
      </w:rPr>
      <w:tcPr>
        <w:shd w:val="clear" w:color="ffffff" w:fill="70ad47" w:themeFill="accent6"/>
      </w:tcPr>
    </w:tblStylePr>
    <w:tblStylePr w:type="firstRow">
      <w:rPr>
        <w:b/>
        <w:sz w:val="22"/>
      </w:rPr>
      <w:tcPr>
        <w:shd w:val="clear" w:color="ffffff" w:fill="70ad47" w:themeFill="accent6"/>
      </w:tcPr>
    </w:tblStylePr>
    <w:tblStylePr w:type="lastCol">
      <w:rPr>
        <w:b/>
        <w:sz w:val="22"/>
      </w:rPr>
      <w:tcPr>
        <w:shd w:val="clear" w:color="ffffff" w:fill="70ad47" w:themeFill="accent6"/>
      </w:tcPr>
    </w:tblStylePr>
    <w:tblStylePr w:type="lastRow">
      <w:rPr>
        <w:b/>
        <w:sz w:val="22"/>
      </w:rPr>
      <w:tcPr>
        <w:tcBorders>
          <w:top w:val="single" w:color="FFFFFF" w:themeColor="light1" w:sz="4" w:space="0"/>
        </w:tcBorders>
        <w:shd w:val="clear" w:color="ffffff" w:fill="70ad47" w:themeFill="accent6"/>
      </w:tcPr>
    </w:tblStylePr>
  </w:style>
  <w:style w:type="table" w:styleId="796">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000000"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7" w:customStyle="1">
    <w:name w:val="Grid Table 6 Colorful - Accent 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0" w:type="dxa"/>
        <w:top w:w="0" w:type="dxa"/>
        <w:right w:w="0" w:type="dxa"/>
        <w:bottom w:w="0" w:type="dxa"/>
      </w:tblCellMar>
    </w:tblPr>
    <w:tblStylePr w:type="band1Horz">
      <w:rPr>
        <w:color w:val="acccea" w:themeColor="accent1" w:themeTint="80" w:themeShade="95"/>
        <w:sz w:val="22"/>
      </w:rPr>
      <w:tcPr>
        <w:shd w:val="clear" w:color="ffffff" w:fill="ddeaf6" w:themeFill="accent1" w:themeFillTint="34"/>
      </w:tcPr>
    </w:tblStylePr>
    <w:tblStylePr w:type="band1Vert">
      <w:tcPr>
        <w:shd w:val="clear" w:color="ffffff" w:fill="ddeaf6" w:themeFill="accent1" w:themeFillTint="34"/>
      </w:tcPr>
    </w:tblStylePr>
    <w:tblStylePr w:type="band2Horz">
      <w:rPr>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5B9BD5" w:themeColor="accent1"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98" w:customStyle="1">
    <w:name w:val="Grid Table 6 Colorful - Accent 2"/>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ED7D31" w:themeColor="accent2"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99" w:customStyle="1">
    <w:name w:val="Grid Table 6 Colorful - Accent 3"/>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00" w:customStyle="1">
    <w:name w:val="Grid Table 6 Colorful - Accent 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C000" w:themeColor="accent4"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01" w:customStyle="1">
    <w:name w:val="Grid Table 6 Colorful - Accent 5"/>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color w:val="254175" w:themeColor="accent5" w:themeShade="95"/>
        <w:sz w:val="22"/>
      </w:rPr>
      <w:tcPr>
        <w:shd w:val="clear" w:color="ffffff" w:fill="d8e2f3" w:themeFill="accent5" w:themeFillTint="34"/>
      </w:tcPr>
    </w:tblStylePr>
    <w:tblStylePr w:type="band1Vert">
      <w:tcPr>
        <w:shd w:val="clear" w:color="ffffff" w:fill="d8e2f3" w:themeFill="accent5" w:themeFillTint="34"/>
      </w:tcPr>
    </w:tblStylePr>
    <w:tblStylePr w:type="band2Horz">
      <w:rPr>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2" w:customStyle="1">
    <w:name w:val="Grid Table 6 Colorful - Accent 6"/>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color w:val="254175" w:themeColor="accent5"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3">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ffffff" w:themeFill="text1" w:themeFillTint="00"/>
      </w:tcPr>
    </w:tblStylePr>
    <w:tblStylePr w:type="band1Vert">
      <w:tcPr>
        <w:shd w:val="clear" w:color="ffffff" w:fill="ffffff"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b/>
        <w:color w:val="7f7f7f" w:themeColor="text1" w:themeTint="80" w:themeShade="95"/>
        <w:sz w:val="22"/>
      </w:r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7f7f7f" w:themeColor="text1" w:themeTint="80" w:themeShade="95"/>
        <w:sz w:val="22"/>
      </w:r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b/>
        <w:color w:val="7f7f7f" w:themeColor="text1" w:themeTint="80" w:themeShade="95"/>
        <w:sz w:val="22"/>
      </w:r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04" w:customStyle="1">
    <w:name w:val="Grid Table 7 Colorful - Accent 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0" w:type="dxa"/>
        <w:top w:w="0" w:type="dxa"/>
        <w:right w:w="0" w:type="dxa"/>
        <w:bottom w:w="0" w:type="dxa"/>
      </w:tblCellMar>
    </w:tblPr>
    <w:tblStylePr w:type="band1Horz">
      <w:rPr>
        <w:color w:val="acccea" w:themeColor="accent1" w:themeTint="80" w:themeShade="95"/>
        <w:sz w:val="22"/>
      </w:rPr>
      <w:tcPr>
        <w:shd w:val="clear" w:color="ffffff" w:fill="ddeaf6" w:themeFill="accent1" w:themeFillTint="34"/>
      </w:tcPr>
    </w:tblStylePr>
    <w:tblStylePr w:type="band1Vert">
      <w:tcPr>
        <w:shd w:val="clear" w:color="ffffff" w:fill="ddeaf6" w:themeFill="accent1" w:themeFillTint="34"/>
      </w:tcPr>
    </w:tblStylePr>
    <w:tblStylePr w:type="band2Horz">
      <w:rPr>
        <w:color w:val="acccea" w:themeColor="accent1" w:themeTint="80" w:themeShade="95"/>
        <w:sz w:val="22"/>
      </w:rPr>
    </w:tblStylePr>
    <w:tblStylePr w:type="firstCol">
      <w:rPr>
        <w:i/>
        <w:color w:val="acccea" w:themeColor="accent1" w:themeTint="80"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firstRow">
      <w:rPr>
        <w:b/>
        <w:color w:val="acccea" w:themeColor="accent1" w:themeTint="80" w:themeShade="95"/>
        <w:sz w:val="22"/>
      </w:r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Col">
      <w:rPr>
        <w:i/>
        <w:color w:val="acccea" w:themeColor="accent1" w:themeTint="80"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lastRow">
      <w:rPr>
        <w:b/>
        <w:color w:val="acccea" w:themeColor="accent1" w:themeTint="80" w:themeShade="95"/>
        <w:sz w:val="22"/>
      </w:r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style>
  <w:style w:type="table" w:styleId="805" w:customStyle="1">
    <w:name w:val="Grid Table 7 Colorful - Accent 2"/>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firstRow">
      <w:rPr>
        <w:b/>
        <w:color w:val="f4b184" w:themeColor="accent2" w:themeTint="97" w:themeShade="95"/>
        <w:sz w:val="22"/>
      </w:r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Col">
      <w:rPr>
        <w:i/>
        <w:color w:val="f4b184" w:themeColor="accent2" w:themeTint="97" w:themeShade="95"/>
        <w:sz w:val="22"/>
      </w:r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lastRow">
      <w:rPr>
        <w:b/>
        <w:color w:val="f4b184" w:themeColor="accent2" w:themeTint="97" w:themeShade="95"/>
        <w:sz w:val="22"/>
      </w:r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style>
  <w:style w:type="table" w:styleId="806" w:customStyle="1">
    <w:name w:val="Grid Table 7 Colorful - Accent 3"/>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color w:val="a5a5a5" w:themeColor="accent3" w:themeTint="FE" w:themeShade="95"/>
        <w:sz w:val="22"/>
      </w:rPr>
    </w:tblStylePr>
    <w:tblStylePr w:type="firstCol">
      <w:rPr>
        <w:i/>
        <w:color w:val="a5a5a5" w:themeColor="accent3" w:themeTint="FE" w:themeShade="95"/>
        <w:sz w:val="22"/>
      </w:rPr>
      <w:pPr>
        <w:jc w:val="right"/>
      </w:p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firstRow">
      <w:rPr>
        <w:b/>
        <w:color w:val="a5a5a5" w:themeColor="accent3" w:themeTint="FE" w:themeShade="95"/>
        <w:sz w:val="22"/>
      </w:r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Col">
      <w:rPr>
        <w:i/>
        <w:color w:val="a5a5a5" w:themeColor="accent3" w:themeTint="FE" w:themeShade="95"/>
        <w:sz w:val="22"/>
      </w:r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lastRow">
      <w:rPr>
        <w:b/>
        <w:color w:val="a5a5a5" w:themeColor="accent3" w:themeTint="FE" w:themeShade="95"/>
        <w:sz w:val="22"/>
      </w:r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style>
  <w:style w:type="table" w:styleId="807" w:customStyle="1">
    <w:name w:val="Grid Table 7 Colorful - Accent 4"/>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firstRow">
      <w:rPr>
        <w:b/>
        <w:color w:val="ffd865" w:themeColor="accent4" w:themeTint="9A" w:themeShade="95"/>
        <w:sz w:val="22"/>
      </w:r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Col">
      <w:rPr>
        <w:i/>
        <w:color w:val="ffd865" w:themeColor="accent4" w:themeTint="9A" w:themeShade="95"/>
        <w:sz w:val="22"/>
      </w:r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lastRow">
      <w:rPr>
        <w:b/>
        <w:color w:val="ffd865" w:themeColor="accent4" w:themeTint="9A" w:themeShade="95"/>
        <w:sz w:val="22"/>
      </w:r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08" w:customStyle="1">
    <w:name w:val="Grid Table 7 Colorful - Accent 5"/>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0" w:type="dxa"/>
        <w:top w:w="0" w:type="dxa"/>
        <w:right w:w="0" w:type="dxa"/>
        <w:bottom w:w="0" w:type="dxa"/>
      </w:tblCellMar>
    </w:tblPr>
    <w:tblStylePr w:type="band1Horz">
      <w:rPr>
        <w:color w:val="254175" w:themeColor="accent5" w:themeShade="95"/>
        <w:sz w:val="22"/>
      </w:rPr>
      <w:tcPr>
        <w:shd w:val="clear" w:color="ffffff" w:fill="d8e2f3" w:themeFill="accent5" w:themeFillTint="34"/>
      </w:tcPr>
    </w:tblStylePr>
    <w:tblStylePr w:type="band1Vert">
      <w:tcPr>
        <w:shd w:val="clear" w:color="ffffff" w:fill="d8e2f3" w:themeFill="accent5" w:themeFillTint="34"/>
      </w:tcPr>
    </w:tblStylePr>
    <w:tblStylePr w:type="band2Horz">
      <w:rPr>
        <w:color w:val="254175" w:themeColor="accent5" w:themeShade="95"/>
        <w:sz w:val="22"/>
      </w:rPr>
    </w:tblStylePr>
    <w:tblStylePr w:type="firstCol">
      <w:rPr>
        <w:i/>
        <w:color w:val="254175" w:themeColor="accent5" w:themeShade="95"/>
        <w:sz w:val="22"/>
      </w:rPr>
      <w:pPr>
        <w:jc w:val="right"/>
      </w:p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firstRow">
      <w:rPr>
        <w:b/>
        <w:color w:val="254175" w:themeColor="accent5" w:themeShade="95"/>
        <w:sz w:val="22"/>
      </w:r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Col">
      <w:rPr>
        <w:i/>
        <w:color w:val="254175" w:themeColor="accent5" w:themeShade="95"/>
        <w:sz w:val="22"/>
      </w:r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lastRow">
      <w:rPr>
        <w:b/>
        <w:color w:val="254175" w:themeColor="accent5" w:themeShade="95"/>
        <w:sz w:val="22"/>
      </w:r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style>
  <w:style w:type="table" w:styleId="809" w:customStyle="1">
    <w:name w:val="Grid Table 7 Colorful - Accent 6"/>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top w:w="0" w:type="dxa"/>
        <w:right w:w="0" w:type="dxa"/>
        <w:bottom w:w="0" w:type="dxa"/>
      </w:tblCellMar>
    </w:tblPr>
    <w:tblStylePr w:type="band1Horz">
      <w:rPr>
        <w:color w:val="416429" w:themeColor="accent6"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color w:val="416429" w:themeColor="accent6" w:themeShade="95"/>
        <w:sz w:val="22"/>
      </w:rPr>
    </w:tblStylePr>
    <w:tblStylePr w:type="firstCol">
      <w:rPr>
        <w:i/>
        <w:color w:val="416429" w:themeColor="accent6" w:themeShade="95"/>
        <w:sz w:val="22"/>
      </w:rPr>
      <w:pPr>
        <w:jc w:val="right"/>
      </w:p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firstRow">
      <w:rPr>
        <w:b/>
        <w:color w:val="416429" w:themeColor="accent6" w:themeShade="95"/>
        <w:sz w:val="22"/>
      </w:r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Col">
      <w:rPr>
        <w:i/>
        <w:color w:val="416429" w:themeColor="accent6" w:themeShade="95"/>
        <w:sz w:val="22"/>
      </w:r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lastRow">
      <w:rPr>
        <w:b/>
        <w:color w:val="416429" w:themeColor="accent6" w:themeShade="95"/>
        <w:sz w:val="22"/>
      </w:r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style>
  <w:style w:type="table" w:styleId="810">
    <w:name w:val="List Table 1 Light"/>
    <w:uiPriority w:val="99"/>
    <w:tblPr>
      <w:tblStyleRowBandSize w:val="1"/>
      <w:tblStyleColBandSize w:val="1"/>
      <w:tblCellMar>
        <w:left w:w="0" w:type="dxa"/>
        <w:top w:w="0" w:type="dxa"/>
        <w:right w:w="0" w:type="dxa"/>
        <w:bottom w:w="0" w:type="dxa"/>
      </w:tblCellMar>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rPr>
    </w:tblStylePr>
    <w:tblStylePr w:type="firstRow">
      <w:rPr>
        <w:b/>
      </w:rPr>
      <w:tcPr>
        <w:tcBorders>
          <w:top w:val="none" w:color="000000" w:sz="4" w:space="0"/>
          <w:left w:val="none" w:color="000000" w:sz="4" w:space="0"/>
          <w:bottom w:val="single" w:color="000000" w:themeColor="text1" w:sz="4" w:space="0"/>
          <w:right w:val="none" w:color="000000" w:sz="4" w:space="0"/>
        </w:tcBorders>
      </w:tcPr>
    </w:tblStylePr>
    <w:tblStylePr w:type="lastCol">
      <w:rPr>
        <w:b/>
      </w:rPr>
    </w:tblStylePr>
    <w:tblStylePr w:type="lastRow">
      <w:rPr>
        <w:b/>
      </w:rPr>
      <w:tcPr>
        <w:tcBorders>
          <w:top w:val="single" w:color="000000" w:themeColor="text1" w:sz="4" w:space="0"/>
          <w:left w:val="none" w:color="000000" w:sz="4" w:space="0"/>
          <w:bottom w:val="none" w:color="000000" w:sz="4" w:space="0"/>
          <w:right w:val="none" w:color="000000" w:sz="4" w:space="0"/>
        </w:tcBorders>
      </w:tcPr>
    </w:tblStylePr>
  </w:style>
  <w:style w:type="table" w:styleId="811" w:customStyle="1">
    <w:name w:val="List Table 1 Light - Accent 1"/>
    <w:uiPriority w:val="99"/>
    <w:tblPr>
      <w:tblStyleRowBandSize w:val="1"/>
      <w:tblStyleColBandSize w:val="1"/>
      <w:tblCellMar>
        <w:left w:w="0" w:type="dxa"/>
        <w:top w:w="0" w:type="dxa"/>
        <w:right w:w="0" w:type="dxa"/>
        <w:bottom w:w="0" w:type="dxa"/>
      </w:tblCellMar>
    </w:tblPr>
    <w:tblStylePr w:type="band1Horz">
      <w:tcPr>
        <w:shd w:val="clear" w:color="ffffff" w:fill="d5e5f4" w:themeFill="accent1" w:themeFillTint="40"/>
      </w:tcPr>
    </w:tblStylePr>
    <w:tblStylePr w:type="band1Vert">
      <w:tcPr>
        <w:shd w:val="clear" w:color="ffffff" w:fill="d5e5f4" w:themeFill="accent1" w:themeFillTint="40"/>
      </w:tcPr>
    </w:tblStylePr>
    <w:tblStylePr w:type="firstCol">
      <w:rPr>
        <w:b/>
      </w:rPr>
    </w:tblStylePr>
    <w:tblStylePr w:type="firstRow">
      <w:rPr>
        <w:b/>
      </w:rPr>
      <w:tcPr>
        <w:tcBorders>
          <w:top w:val="none" w:color="000000" w:sz="4" w:space="0"/>
          <w:left w:val="none" w:color="000000" w:sz="4" w:space="0"/>
          <w:bottom w:val="single" w:color="5B9BD5" w:themeColor="accent1" w:sz="4" w:space="0"/>
          <w:right w:val="none" w:color="000000" w:sz="4" w:space="0"/>
        </w:tcBorders>
      </w:tcPr>
    </w:tblStylePr>
    <w:tblStylePr w:type="lastCol">
      <w:rPr>
        <w:b/>
      </w:rPr>
    </w:tblStylePr>
    <w:tblStylePr w:type="lastRow">
      <w:rPr>
        <w:b/>
      </w:rPr>
      <w:tcPr>
        <w:tcBorders>
          <w:top w:val="single" w:color="5B9BD5" w:themeColor="accent1" w:sz="4" w:space="0"/>
          <w:left w:val="none" w:color="000000" w:sz="4" w:space="0"/>
          <w:bottom w:val="none" w:color="000000" w:sz="4" w:space="0"/>
          <w:right w:val="none" w:color="000000" w:sz="4" w:space="0"/>
        </w:tcBorders>
      </w:tcPr>
    </w:tblStylePr>
  </w:style>
  <w:style w:type="table" w:styleId="812" w:customStyle="1">
    <w:name w:val="List Table 1 Light - Accent 2"/>
    <w:uiPriority w:val="99"/>
    <w:tblPr>
      <w:tblStyleRowBandSize w:val="1"/>
      <w:tblStyleColBandSize w:val="1"/>
      <w:tblCellMar>
        <w:left w:w="0" w:type="dxa"/>
        <w:top w:w="0" w:type="dxa"/>
        <w:right w:w="0" w:type="dxa"/>
        <w:bottom w:w="0" w:type="dxa"/>
      </w:tblCellMar>
    </w:tblPr>
    <w:tblStylePr w:type="band1Horz">
      <w:tcPr>
        <w:shd w:val="clear" w:color="ffffff" w:fill="fadecb" w:themeFill="accent2" w:themeFillTint="40"/>
      </w:tcPr>
    </w:tblStylePr>
    <w:tblStylePr w:type="band1Vert">
      <w:tcPr>
        <w:shd w:val="clear" w:color="ffffff" w:fill="fadecb" w:themeFill="accent2" w:themeFillTint="40"/>
      </w:tcPr>
    </w:tblStylePr>
    <w:tblStylePr w:type="firstCol">
      <w:rPr>
        <w:b/>
      </w:rPr>
    </w:tblStylePr>
    <w:tblStylePr w:type="firstRow">
      <w:rPr>
        <w:b/>
      </w:rPr>
      <w:tcPr>
        <w:tcBorders>
          <w:top w:val="none" w:color="000000" w:sz="4" w:space="0"/>
          <w:left w:val="none" w:color="000000" w:sz="4" w:space="0"/>
          <w:bottom w:val="single" w:color="ED7D31" w:themeColor="accent2" w:sz="4" w:space="0"/>
          <w:right w:val="none" w:color="000000" w:sz="4" w:space="0"/>
        </w:tcBorders>
      </w:tcPr>
    </w:tblStylePr>
    <w:tblStylePr w:type="lastCol">
      <w:rPr>
        <w:b/>
      </w:rPr>
    </w:tblStylePr>
    <w:tblStylePr w:type="lastRow">
      <w:rPr>
        <w:b/>
      </w:rPr>
      <w:tcPr>
        <w:tcBorders>
          <w:top w:val="single" w:color="ED7D31" w:themeColor="accent2" w:sz="4" w:space="0"/>
          <w:left w:val="none" w:color="000000" w:sz="4" w:space="0"/>
          <w:bottom w:val="none" w:color="000000" w:sz="4" w:space="0"/>
          <w:right w:val="none" w:color="000000" w:sz="4" w:space="0"/>
        </w:tcBorders>
      </w:tcPr>
    </w:tblStylePr>
  </w:style>
  <w:style w:type="table" w:styleId="813" w:customStyle="1">
    <w:name w:val="List Table 1 Light - Accent 3"/>
    <w:uiPriority w:val="99"/>
    <w:tblPr>
      <w:tblStyleRowBandSize w:val="1"/>
      <w:tblStyleColBandSize w:val="1"/>
      <w:tblCellMar>
        <w:left w:w="0" w:type="dxa"/>
        <w:top w:w="0" w:type="dxa"/>
        <w:right w:w="0" w:type="dxa"/>
        <w:bottom w:w="0" w:type="dxa"/>
      </w:tblCellMar>
    </w:tblPr>
    <w:tblStylePr w:type="band1Horz">
      <w:tcPr>
        <w:shd w:val="clear" w:color="ffffff" w:fill="e8e8e8" w:themeFill="accent3" w:themeFillTint="40"/>
      </w:tcPr>
    </w:tblStylePr>
    <w:tblStylePr w:type="band1Vert">
      <w:tcPr>
        <w:shd w:val="clear" w:color="ffffff" w:fill="e8e8e8" w:themeFill="accent3" w:themeFillTint="40"/>
      </w:tcPr>
    </w:tblStylePr>
    <w:tblStylePr w:type="firstCol">
      <w:rPr>
        <w:b/>
      </w:rPr>
    </w:tblStylePr>
    <w:tblStylePr w:type="firstRow">
      <w:rPr>
        <w:b/>
      </w:rPr>
      <w:tcPr>
        <w:tcBorders>
          <w:top w:val="none" w:color="000000" w:sz="4" w:space="0"/>
          <w:left w:val="none" w:color="000000" w:sz="4" w:space="0"/>
          <w:bottom w:val="single" w:color="A5A5A5" w:themeColor="accent3" w:sz="4" w:space="0"/>
          <w:right w:val="none" w:color="000000" w:sz="4" w:space="0"/>
        </w:tcBorders>
      </w:tcPr>
    </w:tblStylePr>
    <w:tblStylePr w:type="lastCol">
      <w:rPr>
        <w:b/>
      </w:rPr>
    </w:tblStylePr>
    <w:tblStylePr w:type="lastRow">
      <w:rPr>
        <w:b/>
      </w:rPr>
      <w:tcPr>
        <w:tcBorders>
          <w:top w:val="single" w:color="A5A5A5" w:themeColor="accent3" w:sz="4" w:space="0"/>
          <w:left w:val="none" w:color="000000" w:sz="4" w:space="0"/>
          <w:bottom w:val="none" w:color="000000" w:sz="4" w:space="0"/>
          <w:right w:val="none" w:color="000000" w:sz="4" w:space="0"/>
        </w:tcBorders>
      </w:tcPr>
    </w:tblStylePr>
  </w:style>
  <w:style w:type="table" w:styleId="814" w:customStyle="1">
    <w:name w:val="List Table 1 Light - Accent 4"/>
    <w:uiPriority w:val="99"/>
    <w:tblPr>
      <w:tblStyleRowBandSize w:val="1"/>
      <w:tblStyleColBandSize w:val="1"/>
      <w:tblCellMar>
        <w:left w:w="0" w:type="dxa"/>
        <w:top w:w="0" w:type="dxa"/>
        <w:right w:w="0" w:type="dxa"/>
        <w:bottom w:w="0" w:type="dxa"/>
      </w:tblCellMar>
    </w:tblPr>
    <w:tblStylePr w:type="band1Horz">
      <w:tcPr>
        <w:shd w:val="clear" w:color="ffffff" w:fill="ffefbf" w:themeFill="accent4" w:themeFillTint="40"/>
      </w:tcPr>
    </w:tblStylePr>
    <w:tblStylePr w:type="band1Vert">
      <w:tcPr>
        <w:shd w:val="clear" w:color="ffffff" w:fill="ffefbf" w:themeFill="accent4" w:themeFillTint="40"/>
      </w:tcPr>
    </w:tblStylePr>
    <w:tblStylePr w:type="firstCol">
      <w:rPr>
        <w:b/>
      </w:rPr>
    </w:tblStylePr>
    <w:tblStylePr w:type="firstRow">
      <w:rPr>
        <w:b/>
      </w:rPr>
      <w:tcPr>
        <w:tcBorders>
          <w:top w:val="none" w:color="000000" w:sz="4" w:space="0"/>
          <w:left w:val="none" w:color="000000" w:sz="4" w:space="0"/>
          <w:bottom w:val="single" w:color="FFC000" w:themeColor="accent4" w:sz="4" w:space="0"/>
          <w:right w:val="none" w:color="000000" w:sz="4" w:space="0"/>
        </w:tcBorders>
      </w:tcPr>
    </w:tblStylePr>
    <w:tblStylePr w:type="lastCol">
      <w:rPr>
        <w:b/>
      </w:rPr>
    </w:tblStylePr>
    <w:tblStylePr w:type="lastRow">
      <w:rPr>
        <w:b/>
      </w:rPr>
      <w:tcPr>
        <w:tcBorders>
          <w:top w:val="single" w:color="FFC000" w:themeColor="accent4" w:sz="4" w:space="0"/>
          <w:left w:val="none" w:color="000000" w:sz="4" w:space="0"/>
          <w:bottom w:val="none" w:color="000000" w:sz="4" w:space="0"/>
          <w:right w:val="none" w:color="000000" w:sz="4" w:space="0"/>
        </w:tcBorders>
      </w:tcPr>
    </w:tblStylePr>
  </w:style>
  <w:style w:type="table" w:styleId="815" w:customStyle="1">
    <w:name w:val="List Table 1 Light - Accent 5"/>
    <w:uiPriority w:val="99"/>
    <w:tblPr>
      <w:tblStyleRowBandSize w:val="1"/>
      <w:tblStyleColBandSize w:val="1"/>
      <w:tblCellMar>
        <w:left w:w="0" w:type="dxa"/>
        <w:top w:w="0" w:type="dxa"/>
        <w:right w:w="0" w:type="dxa"/>
        <w:bottom w:w="0" w:type="dxa"/>
      </w:tblCellMar>
    </w:tblPr>
    <w:tblStylePr w:type="band1Horz">
      <w:tcPr>
        <w:shd w:val="clear" w:color="ffffff" w:fill="cfdbf0" w:themeFill="accent5" w:themeFillTint="40"/>
      </w:tcPr>
    </w:tblStylePr>
    <w:tblStylePr w:type="band1Vert">
      <w:tcPr>
        <w:shd w:val="clear" w:color="ffffff" w:fill="cfdbf0" w:themeFill="accent5" w:themeFillTint="40"/>
      </w:tcPr>
    </w:tblStylePr>
    <w:tblStylePr w:type="firstCol">
      <w:rPr>
        <w:b/>
      </w:rPr>
    </w:tblStylePr>
    <w:tblStylePr w:type="firstRow">
      <w:rPr>
        <w:b/>
      </w:rPr>
      <w:tcPr>
        <w:tcBorders>
          <w:top w:val="none" w:color="000000" w:sz="4" w:space="0"/>
          <w:left w:val="none" w:color="000000" w:sz="4" w:space="0"/>
          <w:bottom w:val="single" w:color="4472C4" w:themeColor="accent5" w:sz="4" w:space="0"/>
          <w:right w:val="none" w:color="000000" w:sz="4" w:space="0"/>
        </w:tcBorders>
      </w:tcPr>
    </w:tblStylePr>
    <w:tblStylePr w:type="lastCol">
      <w:rPr>
        <w:b/>
      </w:rPr>
    </w:tblStylePr>
    <w:tblStylePr w:type="lastRow">
      <w:rPr>
        <w:b/>
      </w:rPr>
      <w:tcPr>
        <w:tcBorders>
          <w:top w:val="single" w:color="4472C4" w:themeColor="accent5" w:sz="4" w:space="0"/>
          <w:left w:val="none" w:color="000000" w:sz="4" w:space="0"/>
          <w:bottom w:val="none" w:color="000000" w:sz="4" w:space="0"/>
          <w:right w:val="none" w:color="000000" w:sz="4" w:space="0"/>
        </w:tcBorders>
      </w:tcPr>
    </w:tblStylePr>
  </w:style>
  <w:style w:type="table" w:styleId="816" w:customStyle="1">
    <w:name w:val="List Table 1 Light - Accent 6"/>
    <w:uiPriority w:val="99"/>
    <w:tblPr>
      <w:tblStyleRowBandSize w:val="1"/>
      <w:tblStyleColBandSize w:val="1"/>
      <w:tblCellMar>
        <w:left w:w="0" w:type="dxa"/>
        <w:top w:w="0" w:type="dxa"/>
        <w:right w:w="0" w:type="dxa"/>
        <w:bottom w:w="0" w:type="dxa"/>
      </w:tblCellMar>
    </w:tblPr>
    <w:tblStylePr w:type="band1Horz">
      <w:tcPr>
        <w:shd w:val="clear" w:color="ffffff" w:fill="daebcf" w:themeFill="accent6" w:themeFillTint="40"/>
      </w:tcPr>
    </w:tblStylePr>
    <w:tblStylePr w:type="band1Vert">
      <w:tcPr>
        <w:shd w:val="clear" w:color="ffffff" w:fill="daebcf" w:themeFill="accent6" w:themeFillTint="40"/>
      </w:tcPr>
    </w:tblStylePr>
    <w:tblStylePr w:type="firstCol">
      <w:rPr>
        <w:b/>
      </w:rPr>
    </w:tblStylePr>
    <w:tblStylePr w:type="firstRow">
      <w:rPr>
        <w:b/>
      </w:rPr>
      <w:tcPr>
        <w:tcBorders>
          <w:top w:val="none" w:color="000000" w:sz="4" w:space="0"/>
          <w:left w:val="none" w:color="000000" w:sz="4" w:space="0"/>
          <w:bottom w:val="single" w:color="70AD47" w:themeColor="accent6" w:sz="4" w:space="0"/>
          <w:right w:val="none" w:color="000000" w:sz="4" w:space="0"/>
        </w:tcBorders>
      </w:tcPr>
    </w:tblStylePr>
    <w:tblStylePr w:type="lastCol">
      <w:rPr>
        <w:b/>
      </w:rPr>
    </w:tblStylePr>
    <w:tblStylePr w:type="lastRow">
      <w:rPr>
        <w:b/>
      </w:rPr>
      <w:tcPr>
        <w:tcBorders>
          <w:top w:val="single" w:color="70AD47" w:themeColor="accent6" w:sz="4" w:space="0"/>
          <w:left w:val="none" w:color="000000" w:sz="4" w:space="0"/>
          <w:bottom w:val="none" w:color="000000" w:sz="4" w:space="0"/>
          <w:right w:val="none" w:color="000000" w:sz="4" w:space="0"/>
        </w:tcBorders>
      </w:tcPr>
    </w:tblStylePr>
  </w:style>
  <w:style w:type="table" w:styleId="817">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sz w:val="22"/>
      </w:rPr>
    </w:tblStylePr>
    <w:tblStylePr w:type="fir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StylePr>
    <w:tblStylePr w:type="la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18" w:customStyle="1">
    <w:name w:val="List Table 2 - Accent 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CellMar>
        <w:left w:w="0" w:type="dxa"/>
        <w:top w:w="0" w:type="dxa"/>
        <w:right w:w="0" w:type="dxa"/>
        <w:bottom w:w="0" w:type="dxa"/>
      </w:tblCellMar>
    </w:tblPr>
    <w:tblStylePr w:type="band1Horz">
      <w:rPr>
        <w:sz w:val="22"/>
      </w:rPr>
      <w:tcPr>
        <w:shd w:val="clear" w:color="ffffff" w:fill="d5e5f4" w:themeFill="accent1" w:themeFillTint="40"/>
      </w:tcPr>
    </w:tblStylePr>
    <w:tblStylePr w:type="band1Vert">
      <w:rPr>
        <w:sz w:val="22"/>
      </w:rPr>
      <w:tcPr>
        <w:shd w:val="clear" w:color="ffffff" w:fill="d5e5f4" w:themeFill="accent1" w:themeFillTint="40"/>
      </w:tcPr>
    </w:tblStylePr>
    <w:tblStylePr w:type="firstCol">
      <w:rPr>
        <w:b/>
        <w:sz w:val="22"/>
      </w:rPr>
    </w:tblStylePr>
    <w:tblStylePr w:type="firstRow">
      <w:rPr>
        <w:b/>
        <w:sz w:val="22"/>
      </w:rPr>
      <w:tcPr>
        <w:tcBorders>
          <w:top w:val="single" w:color="5B9BD5" w:themeColor="accent1" w:sz="4" w:space="0"/>
          <w:left w:val="none" w:color="000000" w:sz="4" w:space="0"/>
          <w:bottom w:val="single" w:color="5B9BD5" w:themeColor="accent1" w:sz="4" w:space="0"/>
          <w:right w:val="none" w:color="000000" w:sz="4" w:space="0"/>
        </w:tcBorders>
      </w:tcPr>
    </w:tblStylePr>
    <w:tblStylePr w:type="lastCol">
      <w:rPr>
        <w:b/>
        <w:sz w:val="22"/>
      </w:rPr>
    </w:tblStylePr>
    <w:tblStylePr w:type="lastRow">
      <w:rPr>
        <w:b/>
        <w:sz w:val="22"/>
      </w:rPr>
      <w:tcPr>
        <w:tcBorders>
          <w:top w:val="single" w:color="5B9BD5" w:themeColor="accent1" w:sz="4" w:space="0"/>
          <w:left w:val="none" w:color="000000" w:sz="4" w:space="0"/>
          <w:bottom w:val="single" w:color="5B9BD5" w:themeColor="accent1" w:sz="4" w:space="0"/>
          <w:right w:val="none" w:color="000000" w:sz="4" w:space="0"/>
        </w:tcBorders>
      </w:tcPr>
    </w:tblStylePr>
  </w:style>
  <w:style w:type="table" w:styleId="819" w:customStyle="1">
    <w:name w:val="List Table 2 - Accent 2"/>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left w:w="0" w:type="dxa"/>
        <w:top w:w="0" w:type="dxa"/>
        <w:right w:w="0" w:type="dxa"/>
        <w:bottom w:w="0" w:type="dxa"/>
      </w:tblCellMar>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sz w:val="22"/>
      </w:rPr>
    </w:tblStylePr>
    <w:tblStylePr w:type="firstRow">
      <w:rPr>
        <w:b/>
        <w:sz w:val="22"/>
      </w:rPr>
      <w:tcPr>
        <w:tcBorders>
          <w:top w:val="single" w:color="ED7D31" w:themeColor="accent2" w:sz="4" w:space="0"/>
          <w:left w:val="none" w:color="000000" w:sz="4" w:space="0"/>
          <w:bottom w:val="single" w:color="ED7D31" w:themeColor="accent2" w:sz="4" w:space="0"/>
          <w:right w:val="none" w:color="000000" w:sz="4" w:space="0"/>
        </w:tcBorders>
      </w:tcPr>
    </w:tblStylePr>
    <w:tblStylePr w:type="lastCol">
      <w:rPr>
        <w:b/>
        <w:sz w:val="22"/>
      </w:rPr>
    </w:tblStylePr>
    <w:tblStylePr w:type="lastRow">
      <w:rPr>
        <w:b/>
        <w:sz w:val="22"/>
      </w:rPr>
      <w:tcPr>
        <w:tcBorders>
          <w:top w:val="single" w:color="ED7D31" w:themeColor="accent2" w:sz="4" w:space="0"/>
          <w:left w:val="none" w:color="000000" w:sz="4" w:space="0"/>
          <w:bottom w:val="single" w:color="ED7D31" w:themeColor="accent2" w:sz="4" w:space="0"/>
          <w:right w:val="none" w:color="000000" w:sz="4" w:space="0"/>
        </w:tcBorders>
      </w:tcPr>
    </w:tblStylePr>
  </w:style>
  <w:style w:type="table" w:styleId="820" w:customStyle="1">
    <w:name w:val="List Table 2 - Accent 3"/>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left w:w="0" w:type="dxa"/>
        <w:top w:w="0" w:type="dxa"/>
        <w:right w:w="0" w:type="dxa"/>
        <w:bottom w:w="0" w:type="dxa"/>
      </w:tblCellMar>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sz w:val="22"/>
      </w:rPr>
    </w:tblStylePr>
    <w:tblStylePr w:type="firstRow">
      <w:rPr>
        <w:b/>
        <w:sz w:val="22"/>
      </w:rPr>
      <w:tcPr>
        <w:tcBorders>
          <w:top w:val="single" w:color="A5A5A5" w:themeColor="accent3" w:sz="4" w:space="0"/>
          <w:left w:val="none" w:color="000000" w:sz="4" w:space="0"/>
          <w:bottom w:val="single" w:color="A5A5A5" w:themeColor="accent3" w:sz="4" w:space="0"/>
          <w:right w:val="none" w:color="000000" w:sz="4" w:space="0"/>
        </w:tcBorders>
      </w:tcPr>
    </w:tblStylePr>
    <w:tblStylePr w:type="lastCol">
      <w:rPr>
        <w:b/>
        <w:sz w:val="22"/>
      </w:rPr>
    </w:tblStylePr>
    <w:tblStylePr w:type="lastRow">
      <w:rPr>
        <w:b/>
        <w:sz w:val="22"/>
      </w:rPr>
      <w:tcPr>
        <w:tcBorders>
          <w:top w:val="single" w:color="A5A5A5" w:themeColor="accent3" w:sz="4" w:space="0"/>
          <w:left w:val="none" w:color="000000" w:sz="4" w:space="0"/>
          <w:bottom w:val="single" w:color="A5A5A5" w:themeColor="accent3" w:sz="4" w:space="0"/>
          <w:right w:val="none" w:color="000000" w:sz="4" w:space="0"/>
        </w:tcBorders>
      </w:tcPr>
    </w:tblStylePr>
  </w:style>
  <w:style w:type="table" w:styleId="821" w:customStyle="1">
    <w:name w:val="List Table 2 - Accent 4"/>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sz w:val="22"/>
      </w:rPr>
    </w:tblStylePr>
    <w:tblStylePr w:type="firstRow">
      <w:rPr>
        <w:b/>
        <w:sz w:val="22"/>
      </w:rPr>
      <w:tcPr>
        <w:tcBorders>
          <w:top w:val="single" w:color="FFC000" w:themeColor="accent4" w:sz="4" w:space="0"/>
          <w:left w:val="none" w:color="000000" w:sz="4" w:space="0"/>
          <w:bottom w:val="single" w:color="FFC000" w:themeColor="accent4" w:sz="4" w:space="0"/>
          <w:right w:val="none" w:color="000000" w:sz="4" w:space="0"/>
        </w:tcBorders>
      </w:tcPr>
    </w:tblStylePr>
    <w:tblStylePr w:type="lastCol">
      <w:rPr>
        <w:b/>
        <w:sz w:val="22"/>
      </w:rPr>
    </w:tblStylePr>
    <w:tblStylePr w:type="lastRow">
      <w:rPr>
        <w:b/>
        <w:sz w:val="22"/>
      </w:rPr>
      <w:tcPr>
        <w:tcBorders>
          <w:top w:val="single" w:color="FFC000" w:themeColor="accent4" w:sz="4" w:space="0"/>
          <w:left w:val="none" w:color="000000" w:sz="4" w:space="0"/>
          <w:bottom w:val="single" w:color="FFC000" w:themeColor="accent4" w:sz="4" w:space="0"/>
          <w:right w:val="none" w:color="000000" w:sz="4" w:space="0"/>
        </w:tcBorders>
      </w:tcPr>
    </w:tblStylePr>
  </w:style>
  <w:style w:type="table" w:styleId="822" w:customStyle="1">
    <w:name w:val="List Table 2 - Accent 5"/>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CellMar>
        <w:left w:w="0" w:type="dxa"/>
        <w:top w:w="0" w:type="dxa"/>
        <w:right w:w="0" w:type="dxa"/>
        <w:bottom w:w="0" w:type="dxa"/>
      </w:tblCellMar>
    </w:tblPr>
    <w:tblStylePr w:type="band1Horz">
      <w:rPr>
        <w:sz w:val="22"/>
      </w:rPr>
      <w:tcPr>
        <w:shd w:val="clear" w:color="ffffff" w:fill="cfdbf0" w:themeFill="accent5" w:themeFillTint="40"/>
      </w:tcPr>
    </w:tblStylePr>
    <w:tblStylePr w:type="band1Vert">
      <w:rPr>
        <w:sz w:val="22"/>
      </w:rPr>
      <w:tcPr>
        <w:shd w:val="clear" w:color="ffffff" w:fill="cfdbf0" w:themeFill="accent5" w:themeFillTint="40"/>
      </w:tcPr>
    </w:tblStylePr>
    <w:tblStylePr w:type="firstCol">
      <w:rPr>
        <w:b/>
        <w:sz w:val="22"/>
      </w:rPr>
    </w:tblStylePr>
    <w:tblStylePr w:type="firstRow">
      <w:rPr>
        <w:b/>
        <w:sz w:val="22"/>
      </w:rPr>
      <w:tcPr>
        <w:tcBorders>
          <w:top w:val="single" w:color="4472C4" w:themeColor="accent5" w:sz="4" w:space="0"/>
          <w:left w:val="none" w:color="000000" w:sz="4" w:space="0"/>
          <w:bottom w:val="single" w:color="4472C4" w:themeColor="accent5" w:sz="4" w:space="0"/>
          <w:right w:val="none" w:color="000000" w:sz="4" w:space="0"/>
        </w:tcBorders>
      </w:tcPr>
    </w:tblStylePr>
    <w:tblStylePr w:type="lastCol">
      <w:rPr>
        <w:b/>
        <w:sz w:val="22"/>
      </w:rPr>
    </w:tblStylePr>
    <w:tblStylePr w:type="lastRow">
      <w:rPr>
        <w:b/>
        <w:sz w:val="22"/>
      </w:rPr>
      <w:tcPr>
        <w:tcBorders>
          <w:top w:val="single" w:color="4472C4" w:themeColor="accent5" w:sz="4" w:space="0"/>
          <w:left w:val="none" w:color="000000" w:sz="4" w:space="0"/>
          <w:bottom w:val="single" w:color="4472C4" w:themeColor="accent5" w:sz="4" w:space="0"/>
          <w:right w:val="none" w:color="000000" w:sz="4" w:space="0"/>
        </w:tcBorders>
      </w:tcPr>
    </w:tblStylePr>
  </w:style>
  <w:style w:type="table" w:styleId="823" w:customStyle="1">
    <w:name w:val="List Table 2 - Accent 6"/>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left w:w="0" w:type="dxa"/>
        <w:top w:w="0" w:type="dxa"/>
        <w:right w:w="0" w:type="dxa"/>
        <w:bottom w:w="0" w:type="dxa"/>
      </w:tblCellMar>
    </w:tblPr>
    <w:tblStylePr w:type="band1Horz">
      <w:rPr>
        <w:sz w:val="22"/>
      </w:rPr>
      <w:tcPr>
        <w:shd w:val="clear" w:color="ffffff" w:fill="daebcf" w:themeFill="accent6" w:themeFillTint="40"/>
      </w:tcPr>
    </w:tblStylePr>
    <w:tblStylePr w:type="band1Vert">
      <w:rPr>
        <w:sz w:val="22"/>
      </w:rPr>
      <w:tcPr>
        <w:shd w:val="clear" w:color="ffffff" w:fill="daebcf" w:themeFill="accent6" w:themeFillTint="40"/>
      </w:tcPr>
    </w:tblStylePr>
    <w:tblStylePr w:type="firstCol">
      <w:rPr>
        <w:b/>
        <w:sz w:val="22"/>
      </w:rPr>
    </w:tblStylePr>
    <w:tblStylePr w:type="firstRow">
      <w:rPr>
        <w:b/>
        <w:sz w:val="22"/>
      </w:rPr>
      <w:tcPr>
        <w:tcBorders>
          <w:top w:val="single" w:color="70AD47" w:themeColor="accent6" w:sz="4" w:space="0"/>
          <w:left w:val="none" w:color="000000" w:sz="4" w:space="0"/>
          <w:bottom w:val="single" w:color="70AD47" w:themeColor="accent6" w:sz="4" w:space="0"/>
          <w:right w:val="none" w:color="000000" w:sz="4" w:space="0"/>
        </w:tcBorders>
      </w:tcPr>
    </w:tblStylePr>
    <w:tblStylePr w:type="lastCol">
      <w:rPr>
        <w:b/>
        <w:sz w:val="22"/>
      </w:rPr>
    </w:tblStylePr>
    <w:tblStylePr w:type="lastRow">
      <w:rPr>
        <w:b/>
        <w:sz w:val="22"/>
      </w:rPr>
      <w:tcPr>
        <w:tcBorders>
          <w:top w:val="single" w:color="70AD47" w:themeColor="accent6" w:sz="4" w:space="0"/>
          <w:left w:val="none" w:color="000000" w:sz="4" w:space="0"/>
          <w:bottom w:val="single" w:color="70AD47" w:themeColor="accent6" w:sz="4" w:space="0"/>
          <w:right w:val="none" w:color="000000" w:sz="4" w:space="0"/>
        </w:tcBorders>
      </w:tcPr>
    </w:tblStylePr>
  </w:style>
  <w:style w:type="table" w:styleId="824">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cPr>
        <w:tcBorders>
          <w:top w:val="single" w:color="000000" w:themeColor="text1" w:sz="4" w:space="0"/>
          <w:bottom w:val="single" w:color="000000" w:themeColor="text1" w:sz="4" w:space="0"/>
        </w:tcBorders>
      </w:tcPr>
    </w:tblStylePr>
    <w:tblStylePr w:type="band1Vert">
      <w:rPr>
        <w:sz w:val="22"/>
      </w:rPr>
      <w:tcPr>
        <w:tcBorders>
          <w:left w:val="single" w:color="000000" w:themeColor="text1" w:sz="4" w:space="0"/>
          <w:right w:val="single" w:color="000000" w:themeColor="text1" w:sz="4" w:space="0"/>
        </w:tcBorders>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825" w:customStyle="1">
    <w:name w:val="List Table 3 - Accent 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0" w:type="dxa"/>
        <w:top w:w="0" w:type="dxa"/>
        <w:right w:w="0" w:type="dxa"/>
        <w:bottom w:w="0" w:type="dxa"/>
      </w:tblCellMar>
    </w:tblPr>
    <w:tblStylePr w:type="band1Horz">
      <w:rPr>
        <w:sz w:val="22"/>
      </w:rPr>
      <w:tcPr>
        <w:tcBorders>
          <w:top w:val="single" w:color="5B9BD5" w:themeColor="accent1" w:sz="4" w:space="0"/>
          <w:bottom w:val="single" w:color="5B9BD5" w:themeColor="accent1" w:sz="4" w:space="0"/>
        </w:tcBorders>
      </w:tcPr>
    </w:tblStylePr>
    <w:tblStylePr w:type="band1Vert">
      <w:rPr>
        <w:sz w:val="22"/>
      </w:rPr>
      <w:tcPr>
        <w:tcBorders>
          <w:left w:val="single" w:color="5B9BD5" w:themeColor="accent1" w:sz="4" w:space="0"/>
          <w:right w:val="single" w:color="5B9BD5" w:themeColor="accent1" w:sz="4" w:space="0"/>
        </w:tcBorders>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826" w:customStyle="1">
    <w:name w:val="List Table 3 - Accent 2"/>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0" w:type="dxa"/>
        <w:top w:w="0" w:type="dxa"/>
        <w:right w:w="0" w:type="dxa"/>
        <w:bottom w:w="0" w:type="dxa"/>
      </w:tblCellMar>
    </w:tblPr>
    <w:tblStylePr w:type="band1Horz">
      <w:rPr>
        <w:sz w:val="22"/>
      </w:rPr>
      <w:tcPr>
        <w:tcBorders>
          <w:top w:val="single" w:color="ED7D31" w:themeColor="accent2" w:sz="4" w:space="0"/>
          <w:bottom w:val="single" w:color="ED7D31" w:themeColor="accent2" w:sz="4" w:space="0"/>
        </w:tcBorders>
      </w:tcPr>
    </w:tblStylePr>
    <w:tblStylePr w:type="band1Vert">
      <w:rPr>
        <w:sz w:val="22"/>
      </w:rPr>
      <w:tcPr>
        <w:tcBorders>
          <w:left w:val="single" w:color="ED7D31" w:themeColor="accent2" w:sz="4" w:space="0"/>
          <w:right w:val="single" w:color="ED7D31" w:themeColor="accent2" w:sz="4" w:space="0"/>
        </w:tcBorders>
      </w:tcPr>
    </w:tblStylePr>
    <w:tblStylePr w:type="firstCol">
      <w:rPr>
        <w:b/>
      </w:rPr>
    </w:tblStylePr>
    <w:tblStylePr w:type="firstRow">
      <w:rPr>
        <w:b/>
        <w:sz w:val="22"/>
      </w:rPr>
      <w:tcPr>
        <w:shd w:val="clear" w:color="ffffff" w:fill="f4b184" w:themeFill="accent2" w:themeFillTint="97"/>
      </w:tcPr>
    </w:tblStylePr>
    <w:tblStylePr w:type="lastCol">
      <w:rPr>
        <w:b/>
      </w:rPr>
    </w:tblStylePr>
    <w:tblStylePr w:type="lastRow">
      <w:rPr>
        <w:b/>
      </w:rPr>
    </w:tblStylePr>
  </w:style>
  <w:style w:type="table" w:styleId="827" w:customStyle="1">
    <w:name w:val="List Table 3 - Accent 3"/>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0" w:type="dxa"/>
        <w:top w:w="0" w:type="dxa"/>
        <w:right w:w="0" w:type="dxa"/>
        <w:bottom w:w="0" w:type="dxa"/>
      </w:tblCellMar>
    </w:tblPr>
    <w:tblStylePr w:type="band1Horz">
      <w:rPr>
        <w:sz w:val="22"/>
      </w:rPr>
      <w:tcPr>
        <w:tcBorders>
          <w:top w:val="single" w:color="A5A5A5" w:themeColor="accent3" w:sz="4" w:space="0"/>
          <w:bottom w:val="single" w:color="A5A5A5" w:themeColor="accent3" w:sz="4" w:space="0"/>
        </w:tcBorders>
      </w:tcPr>
    </w:tblStylePr>
    <w:tblStylePr w:type="band1Vert">
      <w:rPr>
        <w:sz w:val="22"/>
      </w:rPr>
      <w:tcPr>
        <w:tcBorders>
          <w:left w:val="single" w:color="A5A5A5" w:themeColor="accent3" w:sz="4" w:space="0"/>
          <w:right w:val="single" w:color="A5A5A5" w:themeColor="accent3" w:sz="4" w:space="0"/>
        </w:tcBorders>
      </w:tcPr>
    </w:tblStylePr>
    <w:tblStylePr w:type="firstCol">
      <w:rPr>
        <w:b/>
      </w:rPr>
    </w:tblStylePr>
    <w:tblStylePr w:type="firstRow">
      <w:rPr>
        <w:b/>
        <w:sz w:val="22"/>
      </w:rPr>
      <w:tcPr>
        <w:shd w:val="clear" w:color="ffffff" w:fill="c9c9c9" w:themeFill="accent3" w:themeFillTint="98"/>
      </w:tcPr>
    </w:tblStylePr>
    <w:tblStylePr w:type="lastCol">
      <w:rPr>
        <w:b/>
      </w:rPr>
    </w:tblStylePr>
    <w:tblStylePr w:type="lastRow">
      <w:rPr>
        <w:b/>
      </w:rPr>
    </w:tblStylePr>
  </w:style>
  <w:style w:type="table" w:styleId="828" w:customStyle="1">
    <w:name w:val="List Table 3 - Accent 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0" w:type="dxa"/>
        <w:top w:w="0" w:type="dxa"/>
        <w:right w:w="0" w:type="dxa"/>
        <w:bottom w:w="0" w:type="dxa"/>
      </w:tblCellMar>
    </w:tblPr>
    <w:tblStylePr w:type="band1Horz">
      <w:rPr>
        <w:sz w:val="22"/>
      </w:rPr>
      <w:tcPr>
        <w:tcBorders>
          <w:top w:val="single" w:color="FFC000" w:themeColor="accent4" w:sz="4" w:space="0"/>
          <w:bottom w:val="single" w:color="FFC000" w:themeColor="accent4" w:sz="4" w:space="0"/>
        </w:tcBorders>
      </w:tcPr>
    </w:tblStylePr>
    <w:tblStylePr w:type="band1Vert">
      <w:rPr>
        <w:sz w:val="22"/>
      </w:rPr>
      <w:tcPr>
        <w:tcBorders>
          <w:left w:val="single" w:color="FFC000" w:themeColor="accent4" w:sz="4" w:space="0"/>
          <w:right w:val="single" w:color="FFC000" w:themeColor="accent4" w:sz="4" w:space="0"/>
        </w:tcBorders>
      </w:tcPr>
    </w:tblStylePr>
    <w:tblStylePr w:type="firstCol">
      <w:rPr>
        <w:b/>
      </w:rPr>
    </w:tblStylePr>
    <w:tblStylePr w:type="firstRow">
      <w:rPr>
        <w:b/>
        <w:sz w:val="22"/>
      </w:rPr>
      <w:tcPr>
        <w:shd w:val="clear" w:color="ffffff" w:fill="ffd865" w:themeFill="accent4" w:themeFillTint="9A"/>
      </w:tcPr>
    </w:tblStylePr>
    <w:tblStylePr w:type="lastCol">
      <w:rPr>
        <w:b/>
      </w:rPr>
    </w:tblStylePr>
    <w:tblStylePr w:type="lastRow">
      <w:rPr>
        <w:b/>
      </w:rPr>
    </w:tblStylePr>
  </w:style>
  <w:style w:type="table" w:styleId="829" w:customStyle="1">
    <w:name w:val="List Table 3 - Accent 5"/>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0" w:type="dxa"/>
        <w:top w:w="0" w:type="dxa"/>
        <w:right w:w="0" w:type="dxa"/>
        <w:bottom w:w="0" w:type="dxa"/>
      </w:tblCellMar>
    </w:tblPr>
    <w:tblStylePr w:type="band1Horz">
      <w:rPr>
        <w:sz w:val="22"/>
      </w:rPr>
      <w:tcPr>
        <w:tcBorders>
          <w:top w:val="single" w:color="4472C4" w:themeColor="accent5" w:sz="4" w:space="0"/>
          <w:bottom w:val="single" w:color="4472C4" w:themeColor="accent5" w:sz="4" w:space="0"/>
        </w:tcBorders>
      </w:tcPr>
    </w:tblStylePr>
    <w:tblStylePr w:type="band1Vert">
      <w:rPr>
        <w:sz w:val="22"/>
      </w:rPr>
      <w:tcPr>
        <w:tcBorders>
          <w:left w:val="single" w:color="4472C4" w:themeColor="accent5" w:sz="4" w:space="0"/>
          <w:right w:val="single" w:color="4472C4" w:themeColor="accent5" w:sz="4" w:space="0"/>
        </w:tcBorders>
      </w:tcPr>
    </w:tblStylePr>
    <w:tblStylePr w:type="firstCol">
      <w:rPr>
        <w:b/>
      </w:rPr>
    </w:tblStylePr>
    <w:tblStylePr w:type="firstRow">
      <w:rPr>
        <w:b/>
        <w:sz w:val="22"/>
      </w:rPr>
      <w:tcPr>
        <w:shd w:val="clear" w:color="ffffff" w:fill="8da9db" w:themeFill="accent5" w:themeFillTint="9A"/>
      </w:tcPr>
    </w:tblStylePr>
    <w:tblStylePr w:type="lastCol">
      <w:rPr>
        <w:b/>
      </w:rPr>
    </w:tblStylePr>
    <w:tblStylePr w:type="lastRow">
      <w:rPr>
        <w:b/>
      </w:rPr>
    </w:tblStylePr>
  </w:style>
  <w:style w:type="table" w:styleId="830" w:customStyle="1">
    <w:name w:val="List Table 3 - Accent 6"/>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0" w:type="dxa"/>
        <w:top w:w="0" w:type="dxa"/>
        <w:right w:w="0" w:type="dxa"/>
        <w:bottom w:w="0" w:type="dxa"/>
      </w:tblCellMar>
    </w:tblPr>
    <w:tblStylePr w:type="band1Horz">
      <w:rPr>
        <w:sz w:val="22"/>
      </w:rPr>
      <w:tcPr>
        <w:tcBorders>
          <w:top w:val="single" w:color="70AD47" w:themeColor="accent6" w:sz="4" w:space="0"/>
          <w:bottom w:val="single" w:color="70AD47" w:themeColor="accent6" w:sz="4" w:space="0"/>
        </w:tcBorders>
      </w:tcPr>
    </w:tblStylePr>
    <w:tblStylePr w:type="band1Vert">
      <w:rPr>
        <w:sz w:val="22"/>
      </w:rPr>
      <w:tcPr>
        <w:tcBorders>
          <w:left w:val="single" w:color="70AD47" w:themeColor="accent6" w:sz="4" w:space="0"/>
          <w:right w:val="single" w:color="70AD47" w:themeColor="accent6" w:sz="4" w:space="0"/>
        </w:tcBorders>
      </w:tcPr>
    </w:tblStylePr>
    <w:tblStylePr w:type="firstCol">
      <w:rPr>
        <w:b/>
      </w:rPr>
    </w:tblStylePr>
    <w:tblStylePr w:type="firstRow">
      <w:rPr>
        <w:b/>
        <w:sz w:val="22"/>
      </w:rPr>
      <w:tcPr>
        <w:shd w:val="clear" w:color="ffffff" w:fill="a9d08e" w:themeFill="accent6" w:themeFillTint="98"/>
      </w:tcPr>
    </w:tblStylePr>
    <w:tblStylePr w:type="lastCol">
      <w:rPr>
        <w:b/>
      </w:rPr>
    </w:tblStylePr>
    <w:tblStylePr w:type="lastRow">
      <w:rPr>
        <w:b/>
      </w:rPr>
    </w:tblStylePr>
  </w:style>
  <w:style w:type="table" w:styleId="831">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832" w:customStyle="1">
    <w:name w:val="List Table 4 - Accent 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0" w:type="dxa"/>
        <w:top w:w="0" w:type="dxa"/>
        <w:right w:w="0" w:type="dxa"/>
        <w:bottom w:w="0" w:type="dxa"/>
      </w:tblCellMar>
    </w:tblPr>
    <w:tblStylePr w:type="band1Horz">
      <w:rPr>
        <w:sz w:val="22"/>
      </w:rPr>
      <w:tcPr>
        <w:shd w:val="clear" w:color="ffffff" w:fill="d5e5f4" w:themeFill="accent1" w:themeFillTint="40"/>
      </w:tcPr>
    </w:tblStylePr>
    <w:tblStylePr w:type="band1Vert">
      <w:rPr>
        <w:sz w:val="22"/>
      </w:rPr>
      <w:tcPr>
        <w:shd w:val="clear" w:color="ffffff" w:fill="d5e5f4" w:themeFill="accent1" w:themeFillTint="40"/>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833" w:customStyle="1">
    <w:name w:val="List Table 4 - Accent 2"/>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0" w:type="dxa"/>
        <w:top w:w="0" w:type="dxa"/>
        <w:right w:w="0" w:type="dxa"/>
        <w:bottom w:w="0" w:type="dxa"/>
      </w:tblCellMar>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rPr>
    </w:tblStylePr>
    <w:tblStylePr w:type="firstRow">
      <w:rPr>
        <w:b/>
        <w:sz w:val="22"/>
      </w:rPr>
      <w:tcPr>
        <w:shd w:val="clear" w:color="ffffff" w:fill="ed7d31" w:themeFill="accent2"/>
      </w:tcPr>
    </w:tblStylePr>
    <w:tblStylePr w:type="lastCol">
      <w:rPr>
        <w:b/>
      </w:rPr>
    </w:tblStylePr>
    <w:tblStylePr w:type="lastRow">
      <w:rPr>
        <w:b/>
      </w:rPr>
    </w:tblStylePr>
  </w:style>
  <w:style w:type="table" w:styleId="834" w:customStyle="1">
    <w:name w:val="List Table 4 - Accent 3"/>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0" w:type="dxa"/>
        <w:top w:w="0" w:type="dxa"/>
        <w:right w:w="0" w:type="dxa"/>
        <w:bottom w:w="0" w:type="dxa"/>
      </w:tblCellMar>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rPr>
    </w:tblStylePr>
    <w:tblStylePr w:type="firstRow">
      <w:rPr>
        <w:b/>
        <w:sz w:val="22"/>
      </w:rPr>
      <w:tcPr>
        <w:shd w:val="clear" w:color="ffffff" w:fill="a5a5a5" w:themeFill="accent3"/>
      </w:tcPr>
    </w:tblStylePr>
    <w:tblStylePr w:type="lastCol">
      <w:rPr>
        <w:b/>
      </w:rPr>
    </w:tblStylePr>
    <w:tblStylePr w:type="lastRow">
      <w:rPr>
        <w:b/>
      </w:rPr>
    </w:tblStylePr>
  </w:style>
  <w:style w:type="table" w:styleId="835" w:customStyle="1">
    <w:name w:val="List Table 4 - Accent 4"/>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rPr>
    </w:tblStylePr>
    <w:tblStylePr w:type="firstRow">
      <w:rPr>
        <w:b/>
        <w:sz w:val="22"/>
      </w:rPr>
      <w:tcPr>
        <w:shd w:val="clear" w:color="ffffff" w:fill="ffc000" w:themeFill="accent4"/>
      </w:tcPr>
    </w:tblStylePr>
    <w:tblStylePr w:type="lastCol">
      <w:rPr>
        <w:b/>
      </w:rPr>
    </w:tblStylePr>
    <w:tblStylePr w:type="lastRow">
      <w:rPr>
        <w:b/>
      </w:rPr>
    </w:tblStylePr>
  </w:style>
  <w:style w:type="table" w:styleId="836" w:customStyle="1">
    <w:name w:val="List Table 4 - Accent 5"/>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0" w:type="dxa"/>
        <w:top w:w="0" w:type="dxa"/>
        <w:right w:w="0" w:type="dxa"/>
        <w:bottom w:w="0" w:type="dxa"/>
      </w:tblCellMar>
    </w:tblPr>
    <w:tblStylePr w:type="band1Horz">
      <w:rPr>
        <w:sz w:val="22"/>
      </w:rPr>
      <w:tcPr>
        <w:shd w:val="clear" w:color="ffffff" w:fill="cfdbf0" w:themeFill="accent5" w:themeFillTint="40"/>
      </w:tcPr>
    </w:tblStylePr>
    <w:tblStylePr w:type="band1Vert">
      <w:rPr>
        <w:sz w:val="22"/>
      </w:rPr>
      <w:tcPr>
        <w:shd w:val="clear" w:color="ffffff" w:fill="cfdbf0" w:themeFill="accent5" w:themeFillTint="40"/>
      </w:tcPr>
    </w:tblStylePr>
    <w:tblStylePr w:type="firstCol">
      <w:rPr>
        <w:b/>
      </w:rPr>
    </w:tblStylePr>
    <w:tblStylePr w:type="firstRow">
      <w:rPr>
        <w:b/>
        <w:sz w:val="22"/>
      </w:rPr>
      <w:tcPr>
        <w:shd w:val="clear" w:color="ffffff" w:fill="4472c4" w:themeFill="accent5"/>
      </w:tcPr>
    </w:tblStylePr>
    <w:tblStylePr w:type="lastCol">
      <w:rPr>
        <w:b/>
      </w:rPr>
    </w:tblStylePr>
    <w:tblStylePr w:type="lastRow">
      <w:rPr>
        <w:b/>
      </w:rPr>
    </w:tblStylePr>
  </w:style>
  <w:style w:type="table" w:styleId="837" w:customStyle="1">
    <w:name w:val="List Table 4 - Accent 6"/>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0" w:type="dxa"/>
        <w:top w:w="0" w:type="dxa"/>
        <w:right w:w="0" w:type="dxa"/>
        <w:bottom w:w="0" w:type="dxa"/>
      </w:tblCellMar>
    </w:tblPr>
    <w:tblStylePr w:type="band1Horz">
      <w:rPr>
        <w:sz w:val="22"/>
      </w:rPr>
      <w:tcPr>
        <w:shd w:val="clear" w:color="ffffff" w:fill="daebcf" w:themeFill="accent6" w:themeFillTint="40"/>
      </w:tcPr>
    </w:tblStylePr>
    <w:tblStylePr w:type="band1Vert">
      <w:rPr>
        <w:sz w:val="22"/>
      </w:rPr>
      <w:tcPr>
        <w:shd w:val="clear" w:color="ffffff" w:fill="daebcf" w:themeFill="accent6" w:themeFillTint="40"/>
      </w:tcPr>
    </w:tblStylePr>
    <w:tblStylePr w:type="firstCol">
      <w:rPr>
        <w:b/>
      </w:rPr>
    </w:tblStylePr>
    <w:tblStylePr w:type="firstRow">
      <w:rPr>
        <w:b/>
        <w:sz w:val="22"/>
      </w:rPr>
      <w:tcPr>
        <w:shd w:val="clear" w:color="ffffff" w:fill="70ad47" w:themeFill="accent6"/>
      </w:tcPr>
    </w:tblStylePr>
    <w:tblStylePr w:type="lastCol">
      <w:rPr>
        <w:b/>
      </w:rPr>
    </w:tblStylePr>
    <w:tblStylePr w:type="lastRow">
      <w:rPr>
        <w:b/>
      </w:rPr>
    </w:tblStylePr>
  </w:style>
  <w:style w:type="table" w:styleId="838">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7f7f7f" w:themeFill="text1" w:themeFillTint="80"/>
      </w:tcPr>
    </w:tblStylePr>
    <w:tblStylePr w:type="band1Vert">
      <w:tcPr>
        <w:tcBorders>
          <w:left w:val="single" w:color="FFFFFF" w:themeColor="light1" w:sz="4" w:space="0"/>
          <w:right w:val="single" w:color="FFFFFF" w:themeColor="light1" w:sz="4" w:space="0"/>
        </w:tcBorders>
        <w:shd w:val="clear" w:color="ffffff" w:fill="7f7f7f" w:themeFill="text1" w:themeFillTint="80"/>
      </w:tcPr>
    </w:tblStylePr>
    <w:tblStylePr w:type="band2Horz">
      <w:tcPr>
        <w:tcBorders>
          <w:top w:val="single" w:color="FFFFFF" w:themeColor="light1" w:sz="4" w:space="0"/>
          <w:bottom w:val="single" w:color="FFFFFF" w:themeColor="light1" w:sz="4" w:space="0"/>
        </w:tcBorders>
        <w:shd w:val="clear" w:color="ffffff" w:fill="7f7f7f" w:themeFill="text1" w:themeFillTint="80"/>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firstRow">
      <w:rPr>
        <w:b/>
        <w:color w:val="ffffff" w:themeColor="light1"/>
        <w:sz w:val="22"/>
      </w:rPr>
      <w:tcPr>
        <w:tcBorders>
          <w:top w:val="single" w:color="000000" w:themeColor="text1" w:sz="32" w:space="0"/>
          <w:bottom w:val="single" w:color="FFFFFF" w:themeColor="light1" w:sz="12" w:space="0"/>
        </w:tcBorders>
        <w:shd w:val="clear" w:color="ffffff" w:fill="7f7f7f" w:themeFill="text1" w:themeFillTint="80"/>
      </w:tcPr>
    </w:tblStylePr>
    <w:tblStylePr w:type="lastCol">
      <w:tcPr>
        <w:tcBorders>
          <w:left w:val="single" w:color="FFFFFF" w:themeColor="light1" w:sz="4" w:space="0"/>
          <w:right w:val="single" w:color="000000" w:themeColor="text1" w:sz="32" w:space="0"/>
        </w:tcBorders>
      </w:tcPr>
    </w:tblStylePr>
    <w:tblStylePr w:type="lastRow">
      <w:rPr>
        <w:b/>
        <w:color w:val="ffffff" w:themeColor="light1"/>
        <w:sz w:val="22"/>
      </w:rPr>
    </w:tblStylePr>
  </w:style>
  <w:style w:type="table" w:styleId="839" w:customStyle="1">
    <w:name w:val="List Table 5 Dark - Accent 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5b9bd5" w:themeFill="accent1"/>
      </w:tcPr>
    </w:tblStylePr>
    <w:tblStylePr w:type="band1Vert">
      <w:tcPr>
        <w:tcBorders>
          <w:left w:val="single" w:color="FFFFFF" w:themeColor="light1" w:sz="4" w:space="0"/>
          <w:right w:val="single" w:color="FFFFFF" w:themeColor="light1" w:sz="4" w:space="0"/>
        </w:tcBorders>
        <w:shd w:val="clear" w:color="ffffff" w:fill="5b9bd5" w:themeFill="accent1"/>
      </w:tcPr>
    </w:tblStylePr>
    <w:tblStylePr w:type="band2Horz">
      <w:tcPr>
        <w:tcBorders>
          <w:top w:val="single" w:color="FFFFFF" w:themeColor="light1" w:sz="4" w:space="0"/>
          <w:bottom w:val="single" w:color="FFFFFF" w:themeColor="light1" w:sz="4" w:space="0"/>
        </w:tcBorders>
        <w:shd w:val="clear" w:color="ffffff" w:fill="5b9bd5" w:themeFill="accent1"/>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5B9BD5" w:themeColor="accent1" w:sz="32" w:space="0"/>
          <w:right w:val="single" w:color="FFFFFF" w:themeColor="light1" w:sz="4" w:space="0"/>
        </w:tcBorders>
      </w:tcPr>
    </w:tblStylePr>
    <w:tblStylePr w:type="firstRow">
      <w:rPr>
        <w:b/>
        <w:color w:val="ffffff" w:themeColor="light1"/>
        <w:sz w:val="22"/>
      </w:rPr>
      <w:tcPr>
        <w:tcBorders>
          <w:top w:val="single" w:color="5B9BD5" w:themeColor="accent1" w:sz="32" w:space="0"/>
          <w:bottom w:val="single" w:color="FFFFFF" w:themeColor="light1" w:sz="12" w:space="0"/>
        </w:tcBorders>
        <w:shd w:val="clear" w:color="ffffff" w:fill="5b9bd5" w:themeFill="accent1"/>
      </w:tcPr>
    </w:tblStylePr>
    <w:tblStylePr w:type="lastCol">
      <w:tcPr>
        <w:tcBorders>
          <w:left w:val="single" w:color="FFFFFF" w:themeColor="light1" w:sz="4" w:space="0"/>
          <w:right w:val="single" w:color="5B9BD5" w:themeColor="accent1" w:sz="32" w:space="0"/>
        </w:tcBorders>
      </w:tcPr>
    </w:tblStylePr>
    <w:tblStylePr w:type="lastRow">
      <w:rPr>
        <w:b/>
        <w:color w:val="ffffff" w:themeColor="light1"/>
        <w:sz w:val="22"/>
      </w:rPr>
    </w:tblStylePr>
  </w:style>
  <w:style w:type="table" w:styleId="840" w:customStyle="1">
    <w:name w:val="List Table 5 Dark - Accent 2"/>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f4b184" w:themeFill="accent2" w:themeFillTint="97"/>
      </w:tcPr>
    </w:tblStylePr>
    <w:tblStylePr w:type="band1Vert">
      <w:tcPr>
        <w:tcBorders>
          <w:left w:val="single" w:color="FFFFFF" w:themeColor="light1" w:sz="4" w:space="0"/>
          <w:right w:val="single" w:color="FFFFFF" w:themeColor="light1" w:sz="4" w:space="0"/>
        </w:tcBorders>
        <w:shd w:val="clear" w:color="ffffff" w:fill="f4b184" w:themeFill="accent2" w:themeFillTint="97"/>
      </w:tcPr>
    </w:tblStylePr>
    <w:tblStylePr w:type="band2Horz">
      <w:tcPr>
        <w:tcBorders>
          <w:top w:val="single" w:color="FFFFFF" w:themeColor="light1" w:sz="4" w:space="0"/>
          <w:bottom w:val="single" w:color="FFFFFF" w:themeColor="light1" w:sz="4" w:space="0"/>
        </w:tcBorders>
        <w:shd w:val="clear" w:color="ffffff" w:fill="f4b184" w:themeFill="accent2" w:themeFillTint="97"/>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ED7D31" w:themeColor="accent2" w:sz="32" w:space="0"/>
          <w:right w:val="single" w:color="FFFFFF" w:themeColor="light1" w:sz="4" w:space="0"/>
        </w:tcBorders>
      </w:tcPr>
    </w:tblStylePr>
    <w:tblStylePr w:type="firstRow">
      <w:rPr>
        <w:b/>
        <w:color w:val="ffffff" w:themeColor="light1"/>
        <w:sz w:val="22"/>
      </w:rPr>
      <w:tcPr>
        <w:tcBorders>
          <w:top w:val="single" w:color="ED7D31" w:themeColor="accent2" w:sz="32" w:space="0"/>
          <w:bottom w:val="single" w:color="FFFFFF" w:themeColor="light1" w:sz="12" w:space="0"/>
        </w:tcBorders>
        <w:shd w:val="clear" w:color="ffffff" w:fill="f4b184" w:themeFill="accent2" w:themeFillTint="97"/>
      </w:tcPr>
    </w:tblStylePr>
    <w:tblStylePr w:type="lastCol">
      <w:tcPr>
        <w:tcBorders>
          <w:left w:val="single" w:color="FFFFFF" w:themeColor="light1" w:sz="4" w:space="0"/>
          <w:right w:val="single" w:color="ED7D31" w:themeColor="accent2" w:sz="32" w:space="0"/>
        </w:tcBorders>
      </w:tcPr>
    </w:tblStylePr>
    <w:tblStylePr w:type="lastRow">
      <w:rPr>
        <w:b/>
        <w:color w:val="ffffff" w:themeColor="light1"/>
        <w:sz w:val="22"/>
      </w:rPr>
    </w:tblStylePr>
  </w:style>
  <w:style w:type="table" w:styleId="841" w:customStyle="1">
    <w:name w:val="List Table 5 Dark - Accent 3"/>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c9c9c9" w:themeFill="accent3" w:themeFillTint="98"/>
      </w:tcPr>
    </w:tblStylePr>
    <w:tblStylePr w:type="band1Vert">
      <w:tcPr>
        <w:tcBorders>
          <w:left w:val="single" w:color="FFFFFF" w:themeColor="light1" w:sz="4" w:space="0"/>
          <w:right w:val="single" w:color="FFFFFF" w:themeColor="light1" w:sz="4" w:space="0"/>
        </w:tcBorders>
        <w:shd w:val="clear" w:color="ffffff" w:fill="c9c9c9" w:themeFill="accent3" w:themeFillTint="98"/>
      </w:tcPr>
    </w:tblStylePr>
    <w:tblStylePr w:type="band2Horz">
      <w:tcPr>
        <w:tcBorders>
          <w:top w:val="single" w:color="FFFFFF" w:themeColor="light1" w:sz="4" w:space="0"/>
          <w:bottom w:val="single" w:color="FFFFFF" w:themeColor="light1" w:sz="4" w:space="0"/>
        </w:tcBorders>
        <w:shd w:val="clear" w:color="ffffff" w:fill="c9c9c9" w:themeFill="accent3" w:themeFillTint="98"/>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A5A5A5" w:themeColor="accent3" w:sz="32" w:space="0"/>
          <w:right w:val="single" w:color="FFFFFF" w:themeColor="light1" w:sz="4" w:space="0"/>
        </w:tcBorders>
      </w:tcPr>
    </w:tblStylePr>
    <w:tblStylePr w:type="firstRow">
      <w:rPr>
        <w:b/>
        <w:color w:val="ffffff" w:themeColor="light1"/>
        <w:sz w:val="22"/>
      </w:rPr>
      <w:tcPr>
        <w:tcBorders>
          <w:top w:val="single" w:color="A5A5A5" w:themeColor="accent3" w:sz="32" w:space="0"/>
          <w:bottom w:val="single" w:color="FFFFFF" w:themeColor="light1" w:sz="12" w:space="0"/>
        </w:tcBorders>
        <w:shd w:val="clear" w:color="ffffff" w:fill="c9c9c9" w:themeFill="accent3" w:themeFillTint="98"/>
      </w:tcPr>
    </w:tblStylePr>
    <w:tblStylePr w:type="lastCol">
      <w:tcPr>
        <w:tcBorders>
          <w:left w:val="single" w:color="FFFFFF" w:themeColor="light1" w:sz="4" w:space="0"/>
          <w:right w:val="single" w:color="A5A5A5" w:themeColor="accent3" w:sz="32" w:space="0"/>
        </w:tcBorders>
      </w:tcPr>
    </w:tblStylePr>
    <w:tblStylePr w:type="lastRow">
      <w:rPr>
        <w:b/>
        <w:color w:val="ffffff" w:themeColor="light1"/>
        <w:sz w:val="22"/>
      </w:rPr>
    </w:tblStylePr>
  </w:style>
  <w:style w:type="table" w:styleId="842" w:customStyle="1">
    <w:name w:val="List Table 5 Dark - Accent 4"/>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ffd865" w:themeFill="accent4" w:themeFillTint="9A"/>
      </w:tcPr>
    </w:tblStylePr>
    <w:tblStylePr w:type="band1Vert">
      <w:tcPr>
        <w:tcBorders>
          <w:left w:val="single" w:color="FFFFFF" w:themeColor="light1" w:sz="4" w:space="0"/>
          <w:right w:val="single" w:color="FFFFFF" w:themeColor="light1" w:sz="4" w:space="0"/>
        </w:tcBorders>
        <w:shd w:val="clear" w:color="ffffff" w:fill="ffd865" w:themeFill="accent4" w:themeFillTint="9A"/>
      </w:tcPr>
    </w:tblStylePr>
    <w:tblStylePr w:type="band2Horz">
      <w:tcPr>
        <w:tcBorders>
          <w:top w:val="single" w:color="FFFFFF" w:themeColor="light1" w:sz="4" w:space="0"/>
          <w:bottom w:val="single" w:color="FFFFFF" w:themeColor="light1" w:sz="4" w:space="0"/>
        </w:tcBorders>
        <w:shd w:val="clear" w:color="ffffff" w:fill="ffd865" w:themeFill="accent4" w:themeFillTint="9A"/>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FC000" w:themeColor="accent4" w:sz="32" w:space="0"/>
          <w:right w:val="single" w:color="FFFFFF" w:themeColor="light1" w:sz="4" w:space="0"/>
        </w:tcBorders>
      </w:tcPr>
    </w:tblStylePr>
    <w:tblStylePr w:type="firstRow">
      <w:rPr>
        <w:b/>
        <w:color w:val="ffffff" w:themeColor="light1"/>
        <w:sz w:val="22"/>
      </w:rPr>
      <w:tcPr>
        <w:tcBorders>
          <w:top w:val="single" w:color="FFC000" w:themeColor="accent4" w:sz="32" w:space="0"/>
          <w:bottom w:val="single" w:color="FFFFFF" w:themeColor="light1" w:sz="12" w:space="0"/>
        </w:tcBorders>
        <w:shd w:val="clear" w:color="ffffff" w:fill="ffd865" w:themeFill="accent4" w:themeFillTint="9A"/>
      </w:tcPr>
    </w:tblStylePr>
    <w:tblStylePr w:type="lastCol">
      <w:tcPr>
        <w:tcBorders>
          <w:left w:val="single" w:color="FFFFFF" w:themeColor="light1" w:sz="4" w:space="0"/>
          <w:right w:val="single" w:color="FFC000" w:themeColor="accent4" w:sz="32" w:space="0"/>
        </w:tcBorders>
      </w:tcPr>
    </w:tblStylePr>
    <w:tblStylePr w:type="lastRow">
      <w:rPr>
        <w:b/>
        <w:color w:val="ffffff" w:themeColor="light1"/>
        <w:sz w:val="22"/>
      </w:rPr>
    </w:tblStylePr>
  </w:style>
  <w:style w:type="table" w:styleId="843" w:customStyle="1">
    <w:name w:val="List Table 5 Dark - Accent 5"/>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8da9db" w:themeFill="accent5" w:themeFillTint="9A"/>
      </w:tcPr>
    </w:tblStylePr>
    <w:tblStylePr w:type="band1Vert">
      <w:tcPr>
        <w:tcBorders>
          <w:left w:val="single" w:color="FFFFFF" w:themeColor="light1" w:sz="4" w:space="0"/>
          <w:right w:val="single" w:color="FFFFFF" w:themeColor="light1" w:sz="4" w:space="0"/>
        </w:tcBorders>
        <w:shd w:val="clear" w:color="ffffff" w:fill="8da9db" w:themeFill="accent5" w:themeFillTint="9A"/>
      </w:tcPr>
    </w:tblStylePr>
    <w:tblStylePr w:type="band2Horz">
      <w:tcPr>
        <w:tcBorders>
          <w:top w:val="single" w:color="FFFFFF" w:themeColor="light1" w:sz="4" w:space="0"/>
          <w:bottom w:val="single" w:color="FFFFFF" w:themeColor="light1" w:sz="4" w:space="0"/>
        </w:tcBorders>
        <w:shd w:val="clear" w:color="ffffff" w:fill="8da9db" w:themeFill="accent5" w:themeFillTint="9A"/>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472C4" w:themeColor="accent5" w:sz="32" w:space="0"/>
          <w:right w:val="single" w:color="FFFFFF" w:themeColor="light1" w:sz="4" w:space="0"/>
        </w:tcBorders>
      </w:tcPr>
    </w:tblStylePr>
    <w:tblStylePr w:type="firstRow">
      <w:rPr>
        <w:b/>
        <w:color w:val="ffffff" w:themeColor="light1"/>
        <w:sz w:val="22"/>
      </w:rPr>
      <w:tcPr>
        <w:tcBorders>
          <w:top w:val="single" w:color="4472C4" w:themeColor="accent5" w:sz="32" w:space="0"/>
          <w:bottom w:val="single" w:color="FFFFFF" w:themeColor="light1" w:sz="12" w:space="0"/>
        </w:tcBorders>
        <w:shd w:val="clear" w:color="ffffff" w:fill="8da9db" w:themeFill="accent5" w:themeFillTint="9A"/>
      </w:tcPr>
    </w:tblStylePr>
    <w:tblStylePr w:type="lastCol">
      <w:tcPr>
        <w:tcBorders>
          <w:left w:val="single" w:color="FFFFFF" w:themeColor="light1" w:sz="4" w:space="0"/>
          <w:right w:val="single" w:color="4472C4" w:themeColor="accent5" w:sz="32" w:space="0"/>
        </w:tcBorders>
      </w:tcPr>
    </w:tblStylePr>
    <w:tblStylePr w:type="lastRow">
      <w:rPr>
        <w:b/>
        <w:color w:val="ffffff" w:themeColor="light1"/>
        <w:sz w:val="22"/>
      </w:rPr>
    </w:tblStylePr>
  </w:style>
  <w:style w:type="table" w:styleId="844" w:customStyle="1">
    <w:name w:val="List Table 5 Dark - Accent 6"/>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a9d08e" w:themeFill="accent6" w:themeFillTint="98"/>
      </w:tcPr>
    </w:tblStylePr>
    <w:tblStylePr w:type="band1Vert">
      <w:tcPr>
        <w:tcBorders>
          <w:left w:val="single" w:color="FFFFFF" w:themeColor="light1" w:sz="4" w:space="0"/>
          <w:right w:val="single" w:color="FFFFFF" w:themeColor="light1" w:sz="4" w:space="0"/>
        </w:tcBorders>
        <w:shd w:val="clear" w:color="ffffff" w:fill="a9d08e" w:themeFill="accent6" w:themeFillTint="98"/>
      </w:tcPr>
    </w:tblStylePr>
    <w:tblStylePr w:type="band2Horz">
      <w:tcPr>
        <w:tcBorders>
          <w:top w:val="single" w:color="FFFFFF" w:themeColor="light1" w:sz="4" w:space="0"/>
          <w:bottom w:val="single" w:color="FFFFFF" w:themeColor="light1" w:sz="4" w:space="0"/>
        </w:tcBorders>
        <w:shd w:val="clear" w:color="ffffff" w:fill="a9d08e" w:themeFill="accent6" w:themeFillTint="98"/>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70AD47" w:themeColor="accent6" w:sz="32" w:space="0"/>
          <w:right w:val="single" w:color="FFFFFF" w:themeColor="light1" w:sz="4" w:space="0"/>
        </w:tcBorders>
      </w:tcPr>
    </w:tblStylePr>
    <w:tblStylePr w:type="firstRow">
      <w:rPr>
        <w:b/>
        <w:color w:val="ffffff" w:themeColor="light1"/>
        <w:sz w:val="22"/>
      </w:rPr>
      <w:tcPr>
        <w:tcBorders>
          <w:top w:val="single" w:color="70AD47" w:themeColor="accent6" w:sz="32" w:space="0"/>
          <w:bottom w:val="single" w:color="FFFFFF" w:themeColor="light1" w:sz="12" w:space="0"/>
        </w:tcBorders>
        <w:shd w:val="clear" w:color="ffffff" w:fill="a9d08e" w:themeFill="accent6" w:themeFillTint="98"/>
      </w:tcPr>
    </w:tblStylePr>
    <w:tblStylePr w:type="lastCol">
      <w:tcPr>
        <w:tcBorders>
          <w:left w:val="single" w:color="FFFFFF" w:themeColor="light1" w:sz="4" w:space="0"/>
          <w:right w:val="single" w:color="70AD47" w:themeColor="accent6" w:sz="32" w:space="0"/>
        </w:tcBorders>
      </w:tcPr>
    </w:tblStylePr>
    <w:tblStylePr w:type="lastRow">
      <w:rPr>
        <w:b/>
        <w:color w:val="ffffff" w:themeColor="light1"/>
        <w:sz w:val="22"/>
      </w:rPr>
    </w:tblStylePr>
  </w:style>
  <w:style w:type="table" w:styleId="845">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val="00000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846" w:customStyle="1">
    <w:name w:val="List Table 6 Colorful - Accent 1"/>
    <w:uiPriority w:val="99"/>
    <w:tblPr>
      <w:tblStyleRowBandSize w:val="1"/>
      <w:tblStyleColBandSize w:val="1"/>
      <w:tblBorders>
        <w:top w:val="single" w:color="5B9BD5" w:themeColor="accent1" w:sz="4" w:space="0"/>
        <w:bottom w:val="single" w:color="5B9BD5" w:themeColor="accent1" w:sz="4" w:space="0"/>
      </w:tblBorders>
      <w:tblCellMar>
        <w:left w:w="0" w:type="dxa"/>
        <w:top w:w="0" w:type="dxa"/>
        <w:right w:w="0" w:type="dxa"/>
        <w:bottom w:w="0" w:type="dxa"/>
      </w:tblCellMar>
    </w:tblPr>
    <w:tblStylePr w:type="band1Horz">
      <w:rPr>
        <w:color w:val="245a8d" w:themeColor="accent1" w:themeShade="95"/>
        <w:sz w:val="22"/>
      </w:rPr>
      <w:tcPr>
        <w:shd w:val="clear" w:color="ffffff" w:fill="d5e5f4" w:themeFill="accent1" w:themeFillTint="40"/>
      </w:tcPr>
    </w:tblStylePr>
    <w:tblStylePr w:type="band1Vert">
      <w:tcPr>
        <w:shd w:val="clear" w:color="ffffff" w:fill="d5e5f4" w:themeFill="accent1" w:themeFillTint="40"/>
      </w:tcPr>
    </w:tblStylePr>
    <w:tblStylePr w:type="band2Horz">
      <w:rPr>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47" w:customStyle="1">
    <w:name w:val="List Table 6 Colorful - Accent 2"/>
    <w:uiPriority w:val="99"/>
    <w:tblPr>
      <w:tblStyleRowBandSize w:val="1"/>
      <w:tblStyleColBandSize w:val="1"/>
      <w:tblBorders>
        <w:top w:val="single" w:color="F4B184" w:themeColor="accent2" w:themeTint="97" w:sz="4" w:space="0"/>
        <w:bottom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ED7D31" w:themeColor="accent2"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ED7D31" w:themeColor="accent2" w:sz="4" w:space="0"/>
        </w:tcBorders>
      </w:tcPr>
    </w:tblStylePr>
  </w:style>
  <w:style w:type="table" w:styleId="848" w:customStyle="1">
    <w:name w:val="List Table 6 Colorful - Accent 3"/>
    <w:uiPriority w:val="99"/>
    <w:tblPr>
      <w:tblStyleRowBandSize w:val="1"/>
      <w:tblStyleColBandSize w:val="1"/>
      <w:tblBorders>
        <w:top w:val="single" w:color="C9C9C9" w:themeColor="accent3" w:themeTint="98" w:sz="4" w:space="0"/>
        <w:bottom w:val="single" w:color="C9C9C9" w:themeColor="accent3" w:themeTint="98" w:sz="4" w:space="0"/>
      </w:tblBorders>
      <w:tblCellMar>
        <w:left w:w="0" w:type="dxa"/>
        <w:top w:w="0" w:type="dxa"/>
        <w:right w:w="0" w:type="dxa"/>
        <w:bottom w:w="0" w:type="dxa"/>
      </w:tblCellMar>
    </w:tblPr>
    <w:tblStylePr w:type="band1Horz">
      <w:rPr>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A5A5A5" w:themeColor="accent3"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A5A5A5" w:themeColor="accent3" w:sz="4" w:space="0"/>
        </w:tcBorders>
      </w:tcPr>
    </w:tblStylePr>
  </w:style>
  <w:style w:type="table" w:styleId="849" w:customStyle="1">
    <w:name w:val="List Table 6 Colorful - Accent 4"/>
    <w:uiPriority w:val="99"/>
    <w:tblPr>
      <w:tblStyleRowBandSize w:val="1"/>
      <w:tblStyleColBandSize w:val="1"/>
      <w:tblBorders>
        <w:top w:val="single" w:color="FFD865" w:themeColor="accent4" w:themeTint="9A" w:sz="4" w:space="0"/>
        <w:bottom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C000" w:themeColor="accent4"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C000" w:themeColor="accent4" w:sz="4" w:space="0"/>
        </w:tcBorders>
      </w:tcPr>
    </w:tblStylePr>
  </w:style>
  <w:style w:type="table" w:styleId="850" w:customStyle="1">
    <w:name w:val="List Table 6 Colorful - Accent 5"/>
    <w:uiPriority w:val="99"/>
    <w:tblPr>
      <w:tblStyleRowBandSize w:val="1"/>
      <w:tblStyleColBandSize w:val="1"/>
      <w:tblBorders>
        <w:top w:val="single" w:color="8DA9DB" w:themeColor="accent5" w:themeTint="9A" w:sz="4" w:space="0"/>
        <w:bottom w:val="single" w:color="8DA9DB" w:themeColor="accent5" w:themeTint="9A" w:sz="4" w:space="0"/>
      </w:tblBorders>
      <w:tblCellMar>
        <w:left w:w="0" w:type="dxa"/>
        <w:top w:w="0" w:type="dxa"/>
        <w:right w:w="0" w:type="dxa"/>
        <w:bottom w:w="0" w:type="dxa"/>
      </w:tblCellMar>
    </w:tblPr>
    <w:tblStylePr w:type="band1Horz">
      <w:rPr>
        <w:color w:val="8da9db" w:themeColor="accent5" w:themeTint="9A" w:themeShade="95"/>
        <w:sz w:val="22"/>
      </w:rPr>
      <w:tcPr>
        <w:shd w:val="clear" w:color="ffffff" w:fill="cfdbf0" w:themeFill="accent5" w:themeFillTint="40"/>
      </w:tcPr>
    </w:tblStylePr>
    <w:tblStylePr w:type="band1Vert">
      <w:tcPr>
        <w:shd w:val="clear" w:color="ffffff" w:fill="cfdbf0" w:themeFill="accent5" w:themeFillTint="40"/>
      </w:tcPr>
    </w:tblStylePr>
    <w:tblStylePr w:type="band2Horz">
      <w:rPr>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4472C4" w:themeColor="accent5"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4472C4" w:themeColor="accent5" w:sz="4" w:space="0"/>
        </w:tcBorders>
      </w:tcPr>
    </w:tblStylePr>
  </w:style>
  <w:style w:type="table" w:styleId="851" w:customStyle="1">
    <w:name w:val="List Table 6 Colorful - Accent 6"/>
    <w:uiPriority w:val="99"/>
    <w:tblPr>
      <w:tblStyleRowBandSize w:val="1"/>
      <w:tblStyleColBandSize w:val="1"/>
      <w:tblBorders>
        <w:top w:val="single" w:color="A9D08E" w:themeColor="accent6" w:themeTint="98" w:sz="4" w:space="0"/>
        <w:bottom w:val="single" w:color="A9D08E" w:themeColor="accent6" w:themeTint="98" w:sz="4" w:space="0"/>
      </w:tblBorders>
      <w:tblCellMar>
        <w:left w:w="0" w:type="dxa"/>
        <w:top w:w="0" w:type="dxa"/>
        <w:right w:w="0" w:type="dxa"/>
        <w:bottom w:w="0" w:type="dxa"/>
      </w:tblCellMar>
    </w:tblPr>
    <w:tblStylePr w:type="band1Horz">
      <w:rPr>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70AD47" w:themeColor="accent6"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70AD47" w:themeColor="accent6" w:sz="4" w:space="0"/>
        </w:tcBorders>
      </w:tcPr>
    </w:tblStylePr>
  </w:style>
  <w:style w:type="table" w:styleId="852">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i/>
        <w:color w:val="7f7f7f" w:themeColor="text1" w:themeTint="80" w:themeShade="95"/>
        <w:sz w:val="22"/>
      </w:r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7f7f7f" w:themeColor="text1" w:themeTint="80" w:themeShade="95"/>
        <w:sz w:val="22"/>
      </w:r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i/>
        <w:color w:val="7f7f7f" w:themeColor="text1" w:themeTint="80" w:themeShade="95"/>
        <w:sz w:val="22"/>
      </w:r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53" w:customStyle="1">
    <w:name w:val="List Table 7 Colorful - Accent 1"/>
    <w:uiPriority w:val="99"/>
    <w:tblPr>
      <w:tblStyleRowBandSize w:val="1"/>
      <w:tblStyleColBandSize w:val="1"/>
      <w:tblBorders>
        <w:right w:val="single" w:color="5B9BD5" w:themeColor="accent1" w:sz="4" w:space="0"/>
      </w:tblBorders>
      <w:tblCellMar>
        <w:left w:w="0" w:type="dxa"/>
        <w:top w:w="0" w:type="dxa"/>
        <w:right w:w="0" w:type="dxa"/>
        <w:bottom w:w="0" w:type="dxa"/>
      </w:tblCellMar>
    </w:tblPr>
    <w:tblStylePr w:type="band1Horz">
      <w:rPr>
        <w:color w:val="245a8d" w:themeColor="accent1" w:themeShade="95"/>
        <w:sz w:val="22"/>
      </w:rPr>
      <w:tcPr>
        <w:shd w:val="clear" w:color="ffffff" w:fill="d5e5f4" w:themeFill="accent1" w:themeFillTint="40"/>
      </w:tcPr>
    </w:tblStylePr>
    <w:tblStylePr w:type="band1Vert">
      <w:tcPr>
        <w:shd w:val="clear" w:color="ffffff" w:fill="d5e5f4" w:themeFill="accent1" w:themeFillTint="40"/>
      </w:tcPr>
    </w:tblStylePr>
    <w:tblStylePr w:type="band2Horz">
      <w:rPr>
        <w:color w:val="245a8d" w:themeColor="accent1" w:themeShade="95"/>
        <w:sz w:val="22"/>
      </w:rPr>
    </w:tblStylePr>
    <w:tblStylePr w:type="firstCol">
      <w:rPr>
        <w:i/>
        <w:color w:val="245a8d" w:themeColor="accent1"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firstRow">
      <w:rPr>
        <w:i/>
        <w:color w:val="245a8d" w:themeColor="accent1" w:themeShade="95"/>
        <w:sz w:val="22"/>
      </w:r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Col">
      <w:rPr>
        <w:i/>
        <w:color w:val="245a8d" w:themeColor="accent1"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lastRow">
      <w:rPr>
        <w:i/>
        <w:color w:val="245a8d" w:themeColor="accent1" w:themeShade="95"/>
        <w:sz w:val="22"/>
      </w:r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style>
  <w:style w:type="table" w:styleId="854" w:customStyle="1">
    <w:name w:val="List Table 7 Colorful - Accent 2"/>
    <w:uiPriority w:val="99"/>
    <w:tblPr>
      <w:tblStyleRowBandSize w:val="1"/>
      <w:tblStyleColBandSize w:val="1"/>
      <w:tblBorders>
        <w:right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firstRow">
      <w:rPr>
        <w:i/>
        <w:color w:val="f4b184" w:themeColor="accent2" w:themeTint="97" w:themeShade="95"/>
        <w:sz w:val="22"/>
      </w:r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Col">
      <w:rPr>
        <w:i/>
        <w:color w:val="f4b184" w:themeColor="accent2" w:themeTint="97" w:themeShade="95"/>
        <w:sz w:val="22"/>
      </w:r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lastRow">
      <w:rPr>
        <w:i/>
        <w:color w:val="f4b184" w:themeColor="accent2" w:themeTint="97" w:themeShade="95"/>
        <w:sz w:val="22"/>
      </w:r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style>
  <w:style w:type="table" w:styleId="855" w:customStyle="1">
    <w:name w:val="List Table 7 Colorful - Accent 3"/>
    <w:uiPriority w:val="99"/>
    <w:tblPr>
      <w:tblStyleRowBandSize w:val="1"/>
      <w:tblStyleColBandSize w:val="1"/>
      <w:tblBorders>
        <w:right w:val="single" w:color="C9C9C9" w:themeColor="accent3" w:themeTint="98" w:sz="4" w:space="0"/>
      </w:tblBorders>
      <w:tblCellMar>
        <w:left w:w="0" w:type="dxa"/>
        <w:top w:w="0" w:type="dxa"/>
        <w:right w:w="0" w:type="dxa"/>
        <w:bottom w:w="0" w:type="dxa"/>
      </w:tblCellMar>
    </w:tblPr>
    <w:tblStylePr w:type="band1Horz">
      <w:rPr>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c9c9c9" w:themeColor="accent3" w:themeTint="98" w:themeShade="95"/>
        <w:sz w:val="22"/>
      </w:rPr>
    </w:tblStylePr>
    <w:tblStylePr w:type="firstCol">
      <w:rPr>
        <w:i/>
        <w:color w:val="c9c9c9" w:themeColor="accent3" w:themeTint="98" w:themeShade="95"/>
        <w:sz w:val="22"/>
      </w:rPr>
      <w:pPr>
        <w:jc w:val="right"/>
      </w:p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firstRow">
      <w:rPr>
        <w:i/>
        <w:color w:val="c9c9c9" w:themeColor="accent3" w:themeTint="98" w:themeShade="95"/>
        <w:sz w:val="22"/>
      </w:r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Col">
      <w:rPr>
        <w:i/>
        <w:color w:val="c9c9c9" w:themeColor="accent3" w:themeTint="98" w:themeShade="95"/>
        <w:sz w:val="22"/>
      </w:r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lastRow">
      <w:rPr>
        <w:i/>
        <w:color w:val="c9c9c9" w:themeColor="accent3" w:themeTint="98" w:themeShade="95"/>
        <w:sz w:val="22"/>
      </w:r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style>
  <w:style w:type="table" w:styleId="856" w:customStyle="1">
    <w:name w:val="List Table 7 Colorful - Accent 4"/>
    <w:uiPriority w:val="99"/>
    <w:tblPr>
      <w:tblStyleRowBandSize w:val="1"/>
      <w:tblStyleColBandSize w:val="1"/>
      <w:tblBorders>
        <w:right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firstRow">
      <w:rPr>
        <w:i/>
        <w:color w:val="ffd865" w:themeColor="accent4" w:themeTint="9A" w:themeShade="95"/>
        <w:sz w:val="22"/>
      </w:r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Col">
      <w:rPr>
        <w:i/>
        <w:color w:val="ffd865" w:themeColor="accent4" w:themeTint="9A" w:themeShade="95"/>
        <w:sz w:val="22"/>
      </w:r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lastRow">
      <w:rPr>
        <w:i/>
        <w:color w:val="ffd865" w:themeColor="accent4" w:themeTint="9A" w:themeShade="95"/>
        <w:sz w:val="22"/>
      </w:r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57" w:customStyle="1">
    <w:name w:val="List Table 7 Colorful - Accent 5"/>
    <w:uiPriority w:val="99"/>
    <w:tblPr>
      <w:tblStyleRowBandSize w:val="1"/>
      <w:tblStyleColBandSize w:val="1"/>
      <w:tblBorders>
        <w:right w:val="single" w:color="8DA9DB" w:themeColor="accent5" w:themeTint="9A" w:sz="4" w:space="0"/>
      </w:tblBorders>
      <w:tblCellMar>
        <w:left w:w="0" w:type="dxa"/>
        <w:top w:w="0" w:type="dxa"/>
        <w:right w:w="0" w:type="dxa"/>
        <w:bottom w:w="0" w:type="dxa"/>
      </w:tblCellMar>
    </w:tblPr>
    <w:tblStylePr w:type="band1Horz">
      <w:rPr>
        <w:color w:val="8da9db" w:themeColor="accent5" w:themeTint="9A" w:themeShade="95"/>
        <w:sz w:val="22"/>
      </w:rPr>
      <w:tcPr>
        <w:shd w:val="clear" w:color="ffffff" w:fill="cfdbf0" w:themeFill="accent5" w:themeFillTint="40"/>
      </w:tcPr>
    </w:tblStylePr>
    <w:tblStylePr w:type="band1Vert">
      <w:tcPr>
        <w:shd w:val="clear" w:color="ffffff" w:fill="cfdbf0" w:themeFill="accent5" w:themeFillTint="40"/>
      </w:tcPr>
    </w:tblStylePr>
    <w:tblStylePr w:type="band2Horz">
      <w:rPr>
        <w:color w:val="8da9db" w:themeColor="accent5" w:themeTint="9A" w:themeShade="95"/>
        <w:sz w:val="22"/>
      </w:rPr>
    </w:tblStylePr>
    <w:tblStylePr w:type="firstCol">
      <w:rPr>
        <w:i/>
        <w:color w:val="8da9db" w:themeColor="accent5" w:themeTint="9A" w:themeShade="95"/>
        <w:sz w:val="22"/>
      </w:rPr>
      <w:pPr>
        <w:jc w:val="right"/>
      </w:p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firstRow">
      <w:rPr>
        <w:i/>
        <w:color w:val="8da9db" w:themeColor="accent5" w:themeTint="9A" w:themeShade="95"/>
        <w:sz w:val="22"/>
      </w:r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Col">
      <w:rPr>
        <w:i/>
        <w:color w:val="8da9db" w:themeColor="accent5" w:themeTint="9A" w:themeShade="95"/>
        <w:sz w:val="22"/>
      </w:r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lastRow">
      <w:rPr>
        <w:i/>
        <w:color w:val="8da9db" w:themeColor="accent5" w:themeTint="9A" w:themeShade="95"/>
        <w:sz w:val="22"/>
      </w:r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style>
  <w:style w:type="table" w:styleId="858" w:customStyle="1">
    <w:name w:val="List Table 7 Colorful - Accent 6"/>
    <w:uiPriority w:val="99"/>
    <w:tblPr>
      <w:tblStyleRowBandSize w:val="1"/>
      <w:tblStyleColBandSize w:val="1"/>
      <w:tblBorders>
        <w:right w:val="single" w:color="A9D08E" w:themeColor="accent6" w:themeTint="98" w:sz="4" w:space="0"/>
      </w:tblBorders>
      <w:tblCellMar>
        <w:left w:w="0" w:type="dxa"/>
        <w:top w:w="0" w:type="dxa"/>
        <w:right w:w="0" w:type="dxa"/>
        <w:bottom w:w="0" w:type="dxa"/>
      </w:tblCellMar>
    </w:tblPr>
    <w:tblStylePr w:type="band1Horz">
      <w:rPr>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color w:val="a9d08e" w:themeColor="accent6" w:themeTint="98" w:themeShade="95"/>
        <w:sz w:val="22"/>
      </w:rPr>
    </w:tblStylePr>
    <w:tblStylePr w:type="firstCol">
      <w:rPr>
        <w:i/>
        <w:color w:val="a9d08e" w:themeColor="accent6" w:themeTint="98" w:themeShade="95"/>
        <w:sz w:val="22"/>
      </w:rPr>
      <w:pPr>
        <w:jc w:val="right"/>
      </w:p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firstRow">
      <w:rPr>
        <w:i/>
        <w:color w:val="a9d08e" w:themeColor="accent6" w:themeTint="98" w:themeShade="95"/>
        <w:sz w:val="22"/>
      </w:r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Col">
      <w:rPr>
        <w:i/>
        <w:color w:val="a9d08e" w:themeColor="accent6" w:themeTint="98" w:themeShade="95"/>
        <w:sz w:val="22"/>
      </w:r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lastRow">
      <w:rPr>
        <w:i/>
        <w:color w:val="a9d08e" w:themeColor="accent6" w:themeTint="98" w:themeShade="95"/>
        <w:sz w:val="22"/>
      </w:r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style>
  <w:style w:type="table" w:styleId="859" w:customStyle="1">
    <w:name w:val="Lined - Accent"/>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fff" w:themeFill="text1" w:themeFillTint="00"/>
      </w:tcPr>
    </w:tblStylePr>
    <w:tblStylePr w:type="band2Vert">
      <w:rPr>
        <w:sz w:val="22"/>
      </w:rPr>
      <w:tcPr>
        <w:shd w:val="clear" w:color="ffffff" w:fill="ffffff"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60" w:customStyle="1">
    <w:name w:val="Lined - Accent 1"/>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cbdff1" w:themeFill="accent1" w:themeFillTint="50"/>
      </w:tcPr>
    </w:tblStylePr>
    <w:tblStylePr w:type="band2Vert">
      <w:rPr>
        <w:sz w:val="22"/>
      </w:rPr>
      <w:tcPr>
        <w:shd w:val="clear" w:color="ffffff" w:fill="cbdff1" w:themeFill="accent1" w:themeFillTint="50"/>
      </w:tcPr>
    </w:tblStylePr>
    <w:tblStylePr w:type="firstCol">
      <w:rPr>
        <w:sz w:val="22"/>
      </w:rPr>
      <w:tcPr>
        <w:shd w:val="clear" w:color="ffffff" w:fill="68a2d8" w:themeFill="accent1" w:themeFillTint="EA"/>
      </w:tcPr>
    </w:tblStylePr>
    <w:tblStylePr w:type="firstRow">
      <w:rPr>
        <w:sz w:val="22"/>
      </w:rPr>
      <w:tcPr>
        <w:shd w:val="clear" w:color="ffffff" w:fill="68a2d8" w:themeFill="accent1" w:themeFillTint="EA"/>
      </w:tcPr>
    </w:tblStylePr>
    <w:tblStylePr w:type="lastCol">
      <w:rPr>
        <w:sz w:val="22"/>
      </w:rPr>
      <w:tcPr>
        <w:shd w:val="clear" w:color="ffffff" w:fill="68a2d8" w:themeFill="accent1" w:themeFillTint="EA"/>
      </w:tcPr>
    </w:tblStylePr>
    <w:tblStylePr w:type="lastRow">
      <w:rPr>
        <w:sz w:val="22"/>
      </w:rPr>
      <w:tcPr>
        <w:shd w:val="clear" w:color="ffffff" w:fill="68a2d8" w:themeFill="accent1" w:themeFillTint="EA"/>
      </w:tcPr>
    </w:tblStylePr>
  </w:style>
  <w:style w:type="table" w:styleId="861" w:customStyle="1">
    <w:name w:val="Lined - Accent 2"/>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4" w:themeFill="accent2" w:themeFillTint="97"/>
      </w:tcPr>
    </w:tblStylePr>
    <w:tblStylePr w:type="firstRow">
      <w:rPr>
        <w:sz w:val="22"/>
      </w:rPr>
      <w:tcPr>
        <w:shd w:val="clear" w:color="ffffff" w:fill="f4b184" w:themeFill="accent2" w:themeFillTint="97"/>
      </w:tcPr>
    </w:tblStylePr>
    <w:tblStylePr w:type="lastCol">
      <w:rPr>
        <w:sz w:val="22"/>
      </w:rPr>
      <w:tcPr>
        <w:shd w:val="clear" w:color="ffffff" w:fill="f4b184" w:themeFill="accent2" w:themeFillTint="97"/>
      </w:tcPr>
    </w:tblStylePr>
    <w:tblStylePr w:type="lastRow">
      <w:rPr>
        <w:sz w:val="22"/>
      </w:rPr>
      <w:tcPr>
        <w:shd w:val="clear" w:color="ffffff" w:fill="f4b184" w:themeFill="accent2" w:themeFillTint="97"/>
      </w:tcPr>
    </w:tblStylePr>
  </w:style>
  <w:style w:type="table" w:styleId="862" w:customStyle="1">
    <w:name w:val="Lined - Accent 3"/>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cecec" w:themeFill="accent3" w:themeFillTint="34"/>
      </w:tcPr>
    </w:tblStylePr>
    <w:tblStylePr w:type="band2Vert">
      <w:rPr>
        <w:sz w:val="22"/>
      </w:rPr>
      <w:tcPr>
        <w:shd w:val="clear" w:color="ffffff" w:fill="ececec"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863" w:customStyle="1">
    <w:name w:val="Lined - Accent 4"/>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2cb" w:themeFill="accent4" w:themeFillTint="34"/>
      </w:tcPr>
    </w:tblStylePr>
    <w:tblStylePr w:type="band2Vert">
      <w:rPr>
        <w:sz w:val="22"/>
      </w:rPr>
      <w:tcPr>
        <w:shd w:val="clear" w:color="ffffff" w:fill="fff2cb" w:themeFill="accent4" w:themeFillTint="34"/>
      </w:tcPr>
    </w:tblStylePr>
    <w:tblStylePr w:type="firstCol">
      <w:rPr>
        <w:sz w:val="22"/>
      </w:rPr>
      <w:tcPr>
        <w:shd w:val="clear" w:color="ffffff" w:fill="ffd865" w:themeFill="accent4" w:themeFillTint="9A"/>
      </w:tcPr>
    </w:tblStylePr>
    <w:tblStylePr w:type="firstRow">
      <w:rPr>
        <w:sz w:val="22"/>
      </w:rPr>
      <w:tcPr>
        <w:shd w:val="clear" w:color="ffffff" w:fill="ffd865" w:themeFill="accent4" w:themeFillTint="9A"/>
      </w:tcPr>
    </w:tblStylePr>
    <w:tblStylePr w:type="lastCol">
      <w:rPr>
        <w:sz w:val="22"/>
      </w:rPr>
      <w:tcPr>
        <w:shd w:val="clear" w:color="ffffff" w:fill="ffd865" w:themeFill="accent4" w:themeFillTint="9A"/>
      </w:tcPr>
    </w:tblStylePr>
    <w:tblStylePr w:type="lastRow">
      <w:rPr>
        <w:sz w:val="22"/>
      </w:rPr>
      <w:tcPr>
        <w:shd w:val="clear" w:color="ffffff" w:fill="ffd865" w:themeFill="accent4" w:themeFillTint="9A"/>
      </w:tcPr>
    </w:tblStylePr>
  </w:style>
  <w:style w:type="table" w:styleId="864" w:customStyle="1">
    <w:name w:val="Lined - Accent 5"/>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d8e2f3" w:themeFill="accent5" w:themeFillTint="34"/>
      </w:tcPr>
    </w:tblStylePr>
    <w:tblStylePr w:type="band2Vert">
      <w:rPr>
        <w:sz w:val="22"/>
      </w:rPr>
      <w:tcPr>
        <w:shd w:val="clear" w:color="ffffff" w:fill="d8e2f3"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865" w:customStyle="1">
    <w:name w:val="Lined - Accent 6"/>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1efd8" w:themeFill="accent6" w:themeFillTint="34"/>
      </w:tcPr>
    </w:tblStylePr>
    <w:tblStylePr w:type="band2Vert">
      <w:rPr>
        <w:sz w:val="22"/>
      </w:rPr>
      <w:tcPr>
        <w:shd w:val="clear" w:color="ffffff" w:fill="e1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866" w:customStyle="1">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fff" w:themeFill="text1" w:themeFillTint="00"/>
      </w:tcPr>
    </w:tblStylePr>
    <w:tblStylePr w:type="band2Vert">
      <w:rPr>
        <w:sz w:val="22"/>
      </w:rPr>
      <w:tcPr>
        <w:shd w:val="clear" w:color="ffffff" w:fill="ffffff"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67" w:customStyle="1">
    <w:name w:val="Bordered &amp; Lined - Accent 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cbdff1" w:themeFill="accent1" w:themeFillTint="50"/>
      </w:tcPr>
    </w:tblStylePr>
    <w:tblStylePr w:type="band2Vert">
      <w:rPr>
        <w:sz w:val="22"/>
      </w:rPr>
      <w:tcPr>
        <w:shd w:val="clear" w:color="ffffff" w:fill="cbdff1" w:themeFill="accent1" w:themeFillTint="50"/>
      </w:tcPr>
    </w:tblStylePr>
    <w:tblStylePr w:type="firstCol">
      <w:rPr>
        <w:sz w:val="22"/>
      </w:rPr>
      <w:tcPr>
        <w:shd w:val="clear" w:color="ffffff" w:fill="68a2d8" w:themeFill="accent1" w:themeFillTint="EA"/>
      </w:tcPr>
    </w:tblStylePr>
    <w:tblStylePr w:type="firstRow">
      <w:rPr>
        <w:sz w:val="22"/>
      </w:rPr>
      <w:tcPr>
        <w:shd w:val="clear" w:color="ffffff" w:fill="68a2d8" w:themeFill="accent1" w:themeFillTint="EA"/>
      </w:tcPr>
    </w:tblStylePr>
    <w:tblStylePr w:type="lastCol">
      <w:rPr>
        <w:sz w:val="22"/>
      </w:rPr>
      <w:tcPr>
        <w:shd w:val="clear" w:color="ffffff" w:fill="68a2d8" w:themeFill="accent1" w:themeFillTint="EA"/>
      </w:tcPr>
    </w:tblStylePr>
    <w:tblStylePr w:type="lastRow">
      <w:rPr>
        <w:sz w:val="22"/>
      </w:rPr>
      <w:tcPr>
        <w:shd w:val="clear" w:color="ffffff" w:fill="68a2d8" w:themeFill="accent1" w:themeFillTint="EA"/>
      </w:tcPr>
    </w:tblStylePr>
  </w:style>
  <w:style w:type="table" w:styleId="868" w:customStyle="1">
    <w:name w:val="Bordered &amp; Lined - Accent 2"/>
    <w:uiPriority w:val="99"/>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4" w:themeFill="accent2" w:themeFillTint="97"/>
      </w:tcPr>
    </w:tblStylePr>
    <w:tblStylePr w:type="firstRow">
      <w:rPr>
        <w:sz w:val="22"/>
      </w:rPr>
      <w:tcPr>
        <w:shd w:val="clear" w:color="ffffff" w:fill="f4b184" w:themeFill="accent2" w:themeFillTint="97"/>
      </w:tcPr>
    </w:tblStylePr>
    <w:tblStylePr w:type="lastCol">
      <w:rPr>
        <w:sz w:val="22"/>
      </w:rPr>
      <w:tcPr>
        <w:shd w:val="clear" w:color="ffffff" w:fill="f4b184" w:themeFill="accent2" w:themeFillTint="97"/>
      </w:tcPr>
    </w:tblStylePr>
    <w:tblStylePr w:type="lastRow">
      <w:rPr>
        <w:sz w:val="22"/>
      </w:rPr>
      <w:tcPr>
        <w:shd w:val="clear" w:color="ffffff" w:fill="f4b184" w:themeFill="accent2" w:themeFillTint="97"/>
      </w:tcPr>
    </w:tblStylePr>
  </w:style>
  <w:style w:type="table" w:styleId="869" w:customStyle="1">
    <w:name w:val="Bordered &amp; Lined - Accent 3"/>
    <w:uiPriority w:val="99"/>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cecec" w:themeFill="accent3" w:themeFillTint="34"/>
      </w:tcPr>
    </w:tblStylePr>
    <w:tblStylePr w:type="band2Vert">
      <w:rPr>
        <w:sz w:val="22"/>
      </w:rPr>
      <w:tcPr>
        <w:shd w:val="clear" w:color="ffffff" w:fill="ececec"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870" w:customStyle="1">
    <w:name w:val="Bordered &amp; Lined - Accent 4"/>
    <w:uiPriority w:val="99"/>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2cb" w:themeFill="accent4" w:themeFillTint="34"/>
      </w:tcPr>
    </w:tblStylePr>
    <w:tblStylePr w:type="band2Vert">
      <w:rPr>
        <w:sz w:val="22"/>
      </w:rPr>
      <w:tcPr>
        <w:shd w:val="clear" w:color="ffffff" w:fill="fff2cb" w:themeFill="accent4" w:themeFillTint="34"/>
      </w:tcPr>
    </w:tblStylePr>
    <w:tblStylePr w:type="firstCol">
      <w:rPr>
        <w:sz w:val="22"/>
      </w:rPr>
      <w:tcPr>
        <w:shd w:val="clear" w:color="ffffff" w:fill="ffd865" w:themeFill="accent4" w:themeFillTint="9A"/>
      </w:tcPr>
    </w:tblStylePr>
    <w:tblStylePr w:type="firstRow">
      <w:rPr>
        <w:sz w:val="22"/>
      </w:rPr>
      <w:tcPr>
        <w:shd w:val="clear" w:color="ffffff" w:fill="ffd865" w:themeFill="accent4" w:themeFillTint="9A"/>
      </w:tcPr>
    </w:tblStylePr>
    <w:tblStylePr w:type="lastCol">
      <w:rPr>
        <w:sz w:val="22"/>
      </w:rPr>
      <w:tcPr>
        <w:shd w:val="clear" w:color="ffffff" w:fill="ffd865" w:themeFill="accent4" w:themeFillTint="9A"/>
      </w:tcPr>
    </w:tblStylePr>
    <w:tblStylePr w:type="lastRow">
      <w:rPr>
        <w:sz w:val="22"/>
      </w:rPr>
      <w:tcPr>
        <w:shd w:val="clear" w:color="ffffff" w:fill="ffd865" w:themeFill="accent4" w:themeFillTint="9A"/>
      </w:tcPr>
    </w:tblStylePr>
  </w:style>
  <w:style w:type="table" w:styleId="871" w:customStyle="1">
    <w:name w:val="Bordered &amp; Lined - Accent 5"/>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d8e2f3" w:themeFill="accent5" w:themeFillTint="34"/>
      </w:tcPr>
    </w:tblStylePr>
    <w:tblStylePr w:type="band2Vert">
      <w:rPr>
        <w:sz w:val="22"/>
      </w:rPr>
      <w:tcPr>
        <w:shd w:val="clear" w:color="ffffff" w:fill="d8e2f3"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872" w:customStyle="1">
    <w:name w:val="Bordered &amp; Lined - Accent 6"/>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1efd8" w:themeFill="accent6" w:themeFillTint="34"/>
      </w:tcPr>
    </w:tblStylePr>
    <w:tblStylePr w:type="band2Vert">
      <w:rPr>
        <w:sz w:val="22"/>
      </w:rPr>
      <w:tcPr>
        <w:shd w:val="clear" w:color="ffffff" w:fill="e1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873" w:customStyle="1">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StylePr>
    <w:tblStylePr w:type="firstRow">
      <w:rPr>
        <w:sz w:val="22"/>
      </w:rPr>
      <w:tcPr>
        <w:tcBorders>
          <w:bottom w:val="single" w:color="000000" w:themeColor="text1" w:sz="12" w:space="0"/>
        </w:tcBorders>
      </w:tcPr>
    </w:tblStylePr>
    <w:tblStylePr w:type="lastCol">
      <w:rPr>
        <w:sz w:val="22"/>
      </w:rPr>
      <w:tcPr>
        <w:tcBorders>
          <w:left w:val="single" w:color="000000" w:themeColor="text1" w:sz="12" w:space="0"/>
        </w:tcBorders>
      </w:tcPr>
    </w:tblStylePr>
    <w:tblStylePr w:type="lastRow">
      <w:rPr>
        <w:sz w:val="22"/>
      </w:rPr>
      <w:tcPr>
        <w:tcBorders>
          <w:top w:val="single" w:color="000000" w:themeColor="text1" w:sz="12" w:space="0"/>
        </w:tcBorders>
      </w:tcPr>
    </w:tblStylePr>
  </w:style>
  <w:style w:type="table" w:styleId="874" w:customStyle="1">
    <w:name w:val="Bordered - Accent 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0" w:type="dxa"/>
        <w:top w:w="0" w:type="dxa"/>
        <w:right w:w="0" w:type="dxa"/>
        <w:bottom w:w="0" w:type="dxa"/>
      </w:tblCellMar>
    </w:tblPr>
    <w:tblStylePr w:type="band1Horz">
      <w:rPr>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firstCol">
      <w:rPr>
        <w:sz w:val="22"/>
      </w:rPr>
    </w:tblStylePr>
    <w:tblStylePr w:type="firstRow">
      <w:rPr>
        <w:sz w:val="22"/>
      </w:rPr>
      <w:tcPr>
        <w:tcBorders>
          <w:bottom w:val="single" w:color="5B9BD5" w:themeColor="accent1" w:sz="12" w:space="0"/>
        </w:tcBorders>
      </w:tcPr>
    </w:tblStylePr>
    <w:tblStylePr w:type="lastCol">
      <w:rPr>
        <w:sz w:val="22"/>
      </w:rPr>
      <w:tcPr>
        <w:tcBorders>
          <w:left w:val="single" w:color="5B9BD5" w:themeColor="accent1" w:sz="12" w:space="0"/>
        </w:tcBorders>
      </w:tcPr>
    </w:tblStylePr>
    <w:tblStylePr w:type="lastRow">
      <w:rPr>
        <w:sz w:val="22"/>
      </w:rPr>
      <w:tcPr>
        <w:tcBorders>
          <w:top w:val="single" w:color="5B9BD5" w:themeColor="accent1" w:sz="12" w:space="0"/>
        </w:tcBorders>
      </w:tcPr>
    </w:tblStylePr>
  </w:style>
  <w:style w:type="table" w:styleId="875" w:customStyle="1">
    <w:name w:val="Bordered - Accent 2"/>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top w:w="0" w:type="dxa"/>
        <w:right w:w="0" w:type="dxa"/>
        <w:bottom w:w="0" w:type="dxa"/>
      </w:tblCellMar>
    </w:tblPr>
    <w:tblStylePr w:type="band1Horz">
      <w:rPr>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firstCol">
      <w:rPr>
        <w:sz w:val="22"/>
      </w:rPr>
    </w:tblStylePr>
    <w:tblStylePr w:type="firstRow">
      <w:rPr>
        <w:sz w:val="22"/>
      </w:rPr>
      <w:tcPr>
        <w:tcBorders>
          <w:bottom w:val="single" w:color="ED7D31" w:themeColor="accent2" w:sz="12" w:space="0"/>
        </w:tcBorders>
      </w:tcPr>
    </w:tblStylePr>
    <w:tblStylePr w:type="lastCol">
      <w:rPr>
        <w:sz w:val="22"/>
      </w:rPr>
      <w:tcPr>
        <w:tcBorders>
          <w:left w:val="single" w:color="ED7D31" w:themeColor="accent2" w:sz="12" w:space="0"/>
        </w:tcBorders>
      </w:tcPr>
    </w:tblStylePr>
    <w:tblStylePr w:type="lastRow">
      <w:rPr>
        <w:sz w:val="22"/>
      </w:rPr>
      <w:tcPr>
        <w:tcBorders>
          <w:top w:val="single" w:color="ED7D31" w:themeColor="accent2" w:sz="12" w:space="0"/>
        </w:tcBorders>
      </w:tcPr>
    </w:tblStylePr>
  </w:style>
  <w:style w:type="table" w:styleId="876" w:customStyle="1">
    <w:name w:val="Bordered - Accent 3"/>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top w:w="0" w:type="dxa"/>
        <w:right w:w="0" w:type="dxa"/>
        <w:bottom w:w="0" w:type="dxa"/>
      </w:tblCellMar>
    </w:tblPr>
    <w:tblStylePr w:type="band1Horz">
      <w:rPr>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firstCol">
      <w:rPr>
        <w:sz w:val="22"/>
      </w:rPr>
    </w:tblStylePr>
    <w:tblStylePr w:type="firstRow">
      <w:rPr>
        <w:sz w:val="22"/>
      </w:rPr>
      <w:tcPr>
        <w:tcBorders>
          <w:bottom w:val="single" w:color="A5A5A5" w:themeColor="accent3" w:sz="12" w:space="0"/>
        </w:tcBorders>
      </w:tcPr>
    </w:tblStylePr>
    <w:tblStylePr w:type="lastCol">
      <w:rPr>
        <w:sz w:val="22"/>
      </w:rPr>
      <w:tcPr>
        <w:tcBorders>
          <w:left w:val="single" w:color="A5A5A5" w:themeColor="accent3" w:sz="12" w:space="0"/>
        </w:tcBorders>
      </w:tcPr>
    </w:tblStylePr>
    <w:tblStylePr w:type="lastRow">
      <w:rPr>
        <w:sz w:val="22"/>
      </w:rPr>
      <w:tcPr>
        <w:tcBorders>
          <w:top w:val="single" w:color="A5A5A5" w:themeColor="accent3" w:sz="12" w:space="0"/>
        </w:tcBorders>
      </w:tcPr>
    </w:tblStylePr>
  </w:style>
  <w:style w:type="table" w:styleId="877" w:customStyle="1">
    <w:name w:val="Bordered - Accent 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top w:w="0" w:type="dxa"/>
        <w:right w:w="0" w:type="dxa"/>
        <w:bottom w:w="0" w:type="dxa"/>
      </w:tblCellMar>
    </w:tblPr>
    <w:tblStylePr w:type="band1Horz">
      <w:rPr>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firstCol">
      <w:rPr>
        <w:sz w:val="22"/>
      </w:rPr>
    </w:tblStylePr>
    <w:tblStylePr w:type="firstRow">
      <w:rPr>
        <w:sz w:val="22"/>
      </w:rPr>
      <w:tcPr>
        <w:tcBorders>
          <w:bottom w:val="single" w:color="FFC000" w:themeColor="accent4" w:sz="12" w:space="0"/>
        </w:tcBorders>
      </w:tcPr>
    </w:tblStylePr>
    <w:tblStylePr w:type="lastCol">
      <w:rPr>
        <w:sz w:val="22"/>
      </w:rPr>
      <w:tcPr>
        <w:tcBorders>
          <w:left w:val="single" w:color="FFC000" w:themeColor="accent4" w:sz="12" w:space="0"/>
        </w:tcBorders>
      </w:tcPr>
    </w:tblStylePr>
    <w:tblStylePr w:type="lastRow">
      <w:rPr>
        <w:sz w:val="22"/>
      </w:rPr>
      <w:tcPr>
        <w:tcBorders>
          <w:top w:val="single" w:color="FFC000" w:themeColor="accent4" w:sz="12" w:space="0"/>
        </w:tcBorders>
      </w:tcPr>
    </w:tblStylePr>
  </w:style>
  <w:style w:type="table" w:styleId="878" w:customStyle="1">
    <w:name w:val="Bordered - Accent 5"/>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0" w:type="dxa"/>
        <w:top w:w="0" w:type="dxa"/>
        <w:right w:w="0" w:type="dxa"/>
        <w:bottom w:w="0" w:type="dxa"/>
      </w:tblCellMar>
    </w:tblPr>
    <w:tblStylePr w:type="band1Horz">
      <w:rPr>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firstCol">
      <w:rPr>
        <w:sz w:val="22"/>
      </w:rPr>
    </w:tblStylePr>
    <w:tblStylePr w:type="firstRow">
      <w:rPr>
        <w:sz w:val="22"/>
      </w:rPr>
      <w:tcPr>
        <w:tcBorders>
          <w:bottom w:val="single" w:color="4472C4" w:themeColor="accent5" w:sz="12" w:space="0"/>
        </w:tcBorders>
      </w:tcPr>
    </w:tblStylePr>
    <w:tblStylePr w:type="lastCol">
      <w:rPr>
        <w:sz w:val="22"/>
      </w:rPr>
      <w:tcPr>
        <w:tcBorders>
          <w:left w:val="single" w:color="4472C4" w:themeColor="accent5" w:sz="12" w:space="0"/>
        </w:tcBorders>
      </w:tcPr>
    </w:tblStylePr>
    <w:tblStylePr w:type="lastRow">
      <w:rPr>
        <w:sz w:val="22"/>
      </w:rPr>
      <w:tcPr>
        <w:tcBorders>
          <w:top w:val="single" w:color="4472C4" w:themeColor="accent5" w:sz="12" w:space="0"/>
        </w:tcBorders>
      </w:tcPr>
    </w:tblStylePr>
  </w:style>
  <w:style w:type="table" w:styleId="879" w:customStyle="1">
    <w:name w:val="Bordered - Accent 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top w:w="0" w:type="dxa"/>
        <w:right w:w="0" w:type="dxa"/>
        <w:bottom w:w="0" w:type="dxa"/>
      </w:tblCellMar>
    </w:tblPr>
    <w:tblStylePr w:type="band1Horz">
      <w:rPr>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firstCol">
      <w:rPr>
        <w:sz w:val="22"/>
      </w:rPr>
    </w:tblStylePr>
    <w:tblStylePr w:type="firstRow">
      <w:rPr>
        <w:sz w:val="22"/>
      </w:rPr>
      <w:tcPr>
        <w:tcBorders>
          <w:bottom w:val="single" w:color="70AD47" w:themeColor="accent6" w:sz="12" w:space="0"/>
        </w:tcBorders>
      </w:tcPr>
    </w:tblStylePr>
    <w:tblStylePr w:type="lastCol">
      <w:rPr>
        <w:sz w:val="22"/>
      </w:rPr>
      <w:tcPr>
        <w:tcBorders>
          <w:left w:val="single" w:color="70AD47" w:themeColor="accent6" w:sz="12" w:space="0"/>
        </w:tcBorders>
      </w:tcPr>
    </w:tblStylePr>
    <w:tblStylePr w:type="lastRow">
      <w:rPr>
        <w:sz w:val="22"/>
      </w:rPr>
      <w:tcPr>
        <w:tcBorders>
          <w:top w:val="single" w:color="70AD47" w:themeColor="accent6" w:sz="12" w:space="0"/>
        </w:tcBorders>
      </w:tcPr>
    </w:tblStyle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frprf.ru/zaymy/proekty-razvitiya/" TargetMode="External"/><Relationship Id="rId11" Type="http://schemas.openxmlformats.org/officeDocument/2006/relationships/hyperlink" Target="https://gisp.gov.ru/nmp/measure/6628507" TargetMode="External"/><Relationship Id="rId12" Type="http://schemas.openxmlformats.org/officeDocument/2006/relationships/hyperlink" Target="https://frprf.ru/zaymy/komplektuyushchie/" TargetMode="External"/><Relationship Id="rId13" Type="http://schemas.openxmlformats.org/officeDocument/2006/relationships/hyperlink" Target="https://gisp.gov.ru/nmp/measure/8124256" TargetMode="External"/><Relationship Id="rId14" Type="http://schemas.openxmlformats.org/officeDocument/2006/relationships/hyperlink" Target="https://frprf.ru/zaymy/avtokomponenty/" TargetMode="External"/><Relationship Id="rId15" Type="http://schemas.openxmlformats.org/officeDocument/2006/relationships/hyperlink" Target="https://gisp.gov.ru/nmp/measure/12447705" TargetMode="External"/><Relationship Id="rId16" Type="http://schemas.openxmlformats.org/officeDocument/2006/relationships/hyperlink" Target="https://frprf.ru/zaymy/lizing/" TargetMode="External"/><Relationship Id="rId17" Type="http://schemas.openxmlformats.org/officeDocument/2006/relationships/hyperlink" Target="https://gisp.gov.ru/nmp/measure/7709634" TargetMode="External"/><Relationship Id="rId18" Type="http://schemas.openxmlformats.org/officeDocument/2006/relationships/hyperlink" Target="https://frprf.ru/zaymy/formirovanie-komponentnoy-i-resursnoy-bazys/" TargetMode="External"/><Relationship Id="rId19" Type="http://schemas.openxmlformats.org/officeDocument/2006/relationships/hyperlink" Target="https://gisp.gov.ru/nmp/measure/12447485" TargetMode="External"/><Relationship Id="rId20" Type="http://schemas.openxmlformats.org/officeDocument/2006/relationships/hyperlink" Target="https://gisp.gov.ru/support-measures/list/12447429/" TargetMode="External"/><Relationship Id="rId21" Type="http://schemas.openxmlformats.org/officeDocument/2006/relationships/hyperlink" Target="https://gisp.gov.ru/nmp/measure/12448510" TargetMode="External"/><Relationship Id="rId22" Type="http://schemas.openxmlformats.org/officeDocument/2006/relationships/hyperlink" Target="https://gisp.gov.ru/nmp/measure/12447931" TargetMode="External"/><Relationship Id="rId23" Type="http://schemas.openxmlformats.org/officeDocument/2006/relationships/hyperlink" Target="https://gisp.gov.ru/nmp/measure/12448494" TargetMode="External"/><Relationship Id="rId24" Type="http://schemas.openxmlformats.org/officeDocument/2006/relationships/hyperlink" Target="https://inno-sc.ru/grants/" TargetMode="External"/><Relationship Id="rId25" Type="http://schemas.openxmlformats.org/officeDocument/2006/relationships/hyperlink" Target="https://frprf.ru/zaymy/proekty-razvitiya/" TargetMode="External"/><Relationship Id="rId26" Type="http://schemas.openxmlformats.org/officeDocument/2006/relationships/hyperlink" Target="https://gisp.gov.ru/nmp/measure/6628507" TargetMode="External"/><Relationship Id="rId27" Type="http://schemas.openxmlformats.org/officeDocument/2006/relationships/hyperlink" Target="https://frprf.ru/zaymy/lizing/" TargetMode="External"/><Relationship Id="rId28" Type="http://schemas.openxmlformats.org/officeDocument/2006/relationships/hyperlink" Target="https://gisp.gov.ru/nmp/measure/7709634" TargetMode="External"/><Relationship Id="rId29" Type="http://schemas.openxmlformats.org/officeDocument/2006/relationships/hyperlink" Target="https://frprf.ru/zaymy/markirovka/" TargetMode="External"/><Relationship Id="rId30" Type="http://schemas.openxmlformats.org/officeDocument/2006/relationships/hyperlink" Target="https://gisp.gov.ru/nmp/measure/8869240" TargetMode="External"/><Relationship Id="rId31" Type="http://schemas.openxmlformats.org/officeDocument/2006/relationships/hyperlink" Target="https://gisp.gov.ru/nmp/measure/12447033" TargetMode="External"/><Relationship Id="rId32" Type="http://schemas.openxmlformats.org/officeDocument/2006/relationships/hyperlink" Target="https://gisp.gov.ru/support-measures/list/12448107/" TargetMode="External"/><Relationship Id="rId33" Type="http://schemas.openxmlformats.org/officeDocument/2006/relationships/hyperlink" Target="https://gisp.gov.ru/support-measures/list/10963797/" TargetMode="External"/><Relationship Id="rId34" Type="http://schemas.openxmlformats.org/officeDocument/2006/relationships/hyperlink" Target="https://gisp.gov.ru/nmp/measure/12448626" TargetMode="External"/><Relationship Id="rId35" Type="http://schemas.openxmlformats.org/officeDocument/2006/relationships/hyperlink" Target="https://gisp.gov.ru/nmp/measure/6476169" TargetMode="External"/><Relationship Id="rId36" Type="http://schemas.openxmlformats.org/officeDocument/2006/relationships/hyperlink" Target="https://gisp.gov.ru/nmp/measure/7783234" TargetMode="External"/><Relationship Id="rId37" Type="http://schemas.openxmlformats.org/officeDocument/2006/relationships/hyperlink" Target="https://gisp.gov.ru/nmp/measure/12447436" TargetMode="External"/><Relationship Id="rId38" Type="http://schemas.openxmlformats.org/officeDocument/2006/relationships/hyperlink" Target="https://frprf.ru/zaymy/komplektuyushchie/" TargetMode="External"/><Relationship Id="rId39" Type="http://schemas.openxmlformats.org/officeDocument/2006/relationships/hyperlink" Target="https://gisp.gov.ru/nmp/measure/8124256" TargetMode="External"/><Relationship Id="rId40" Type="http://schemas.openxmlformats.org/officeDocument/2006/relationships/hyperlink" Target="https://frprf.ru/zaymy/avtokomponenty/" TargetMode="External"/><Relationship Id="rId41" Type="http://schemas.openxmlformats.org/officeDocument/2006/relationships/hyperlink" Target="https://gisp.gov.ru/nmp/measure/12447705" TargetMode="External"/><Relationship Id="rId42" Type="http://schemas.openxmlformats.org/officeDocument/2006/relationships/hyperlink" Target="https://frprf.ru/zaymy/formirovanie-komponentnoy-i-resursnoy-bazys/" TargetMode="External"/><Relationship Id="rId43" Type="http://schemas.openxmlformats.org/officeDocument/2006/relationships/hyperlink" Target="https://gisp.gov.ru/nmp/measure/12447485" TargetMode="External"/><Relationship Id="rId44" Type="http://schemas.openxmlformats.org/officeDocument/2006/relationships/hyperlink" Target="https://www.exportcenter.ru/services/kreditno-garantiynaya-podderzhka/korp_clientam/finansirovanie-na-tseli-priobreteniya-importnoy-produktsii/" TargetMode="External"/><Relationship Id="rId45" Type="http://schemas.openxmlformats.org/officeDocument/2006/relationships/hyperlink" Target="https://gisp.gov.ru/nmp/measure/12448094" TargetMode="External"/><Relationship Id="rId46" Type="http://schemas.openxmlformats.org/officeDocument/2006/relationships/hyperlink" Target="https://gisp.gov.ru/support-measures/list/8870584/" TargetMode="External"/><Relationship Id="rId47" Type="http://schemas.openxmlformats.org/officeDocument/2006/relationships/hyperlink" Target="https://gisp.gov.ru/support-measures/list/8870530/" TargetMode="External"/><Relationship Id="rId48" Type="http://schemas.openxmlformats.org/officeDocument/2006/relationships/hyperlink" Target="https://gisp.gov.ru/nmp/measure/12447931" TargetMode="External"/><Relationship Id="rId49" Type="http://schemas.openxmlformats.org/officeDocument/2006/relationships/hyperlink" Target="https://gisp.gov.ru/support-measures/list/12447930/" TargetMode="External"/><Relationship Id="rId50" Type="http://schemas.openxmlformats.org/officeDocument/2006/relationships/hyperlink" Target="https://gisp.gov.ru/nmp/measure/12448507" TargetMode="External"/><Relationship Id="rId51" Type="http://schemas.openxmlformats.org/officeDocument/2006/relationships/hyperlink" Target="https://208.atr.gov.ru/" TargetMode="External"/><Relationship Id="rId52" Type="http://schemas.openxmlformats.org/officeDocument/2006/relationships/hyperlink" Target="https://gisp.gov.ru/nmp/measure/12447714" TargetMode="External"/><Relationship Id="rId53" Type="http://schemas.openxmlformats.org/officeDocument/2006/relationships/hyperlink" Target="https://gisp.gov.ru/support-measures/list/12447429/" TargetMode="External"/><Relationship Id="rId54" Type="http://schemas.openxmlformats.org/officeDocument/2006/relationships/hyperlink" Target="https://gisp.gov.ru/support-measures/list/12446974/" TargetMode="External"/><Relationship Id="rId55" Type="http://schemas.openxmlformats.org/officeDocument/2006/relationships/hyperlink" Target="https://gisp.gov.ru/support-measures/list/12446641/" TargetMode="External"/><Relationship Id="rId56" Type="http://schemas.openxmlformats.org/officeDocument/2006/relationships/hyperlink" Target="https://gisp.gov.ru/nmp/measure/12448565" TargetMode="External"/><Relationship Id="rId57" Type="http://schemas.openxmlformats.org/officeDocument/2006/relationships/hyperlink" Target="https://gisp.gov.ru/nmp/measure/12448536" TargetMode="External"/><Relationship Id="rId58" Type="http://schemas.openxmlformats.org/officeDocument/2006/relationships/hyperlink" Target="https://gisp.gov.ru/nmp/measure/8160120" TargetMode="External"/><Relationship Id="rId59" Type="http://schemas.openxmlformats.org/officeDocument/2006/relationships/hyperlink" Target="https://fasie.ru/programs/programma-razvitie/" TargetMode="External"/><Relationship Id="rId60" Type="http://schemas.openxmlformats.org/officeDocument/2006/relationships/hyperlink" Target="https://gisp.gov.ru/nmp/measure/8168822" TargetMode="External"/><Relationship Id="rId61" Type="http://schemas.openxmlformats.org/officeDocument/2006/relationships/hyperlink" Target="https://fasie.ru/programs/programma-kommertsializatsiya/" TargetMode="External"/><Relationship Id="rId62" Type="http://schemas.openxmlformats.org/officeDocument/2006/relationships/hyperlink" Target="https://gisp.gov.ru/nmp/measure/8168828" TargetMode="External"/><Relationship Id="rId63" Type="http://schemas.openxmlformats.org/officeDocument/2006/relationships/hyperlink" Target="https://sk.ru/grant-financial-support/microgrants/" TargetMode="External"/><Relationship Id="rId64" Type="http://schemas.openxmlformats.org/officeDocument/2006/relationships/hyperlink" Target="https://frprf.ru/zaymy/avtokomponenty/" TargetMode="External"/><Relationship Id="rId65" Type="http://schemas.openxmlformats.org/officeDocument/2006/relationships/hyperlink" Target="https://gisp.gov.ru/nmp/measure/12447705" TargetMode="External"/><Relationship Id="rId66" Type="http://schemas.openxmlformats.org/officeDocument/2006/relationships/hyperlink" Target="https://gisp.gov.ru/support-measures/list/12448038/" TargetMode="External"/><Relationship Id="rId67" Type="http://schemas.openxmlformats.org/officeDocument/2006/relationships/hyperlink" Target="https://gisp.gov.ru/nmp/measure/7754168" TargetMode="External"/><Relationship Id="rId68" Type="http://schemas.openxmlformats.org/officeDocument/2006/relationships/hyperlink" Target="https://gisp.gov.ru/nmp/measure/12447931" TargetMode="External"/><Relationship Id="rId69" Type="http://schemas.openxmlformats.org/officeDocument/2006/relationships/hyperlink" Target="https://inno-sc.ru/grants/" TargetMode="External"/><Relationship Id="rId70" Type="http://schemas.openxmlformats.org/officeDocument/2006/relationships/hyperlink" Target="https://mcx.gov.ru/activity/state-support/measures/building-compensation/" TargetMode="External"/><Relationship Id="rId71" Type="http://schemas.openxmlformats.org/officeDocument/2006/relationships/hyperlink" Target="https://mcx.gov.ru/ministry/departments/departament-ekonomiki-i-gosydarstvennoy-podderzhki-apk/industry-information/info-lgotnoe-kreditovanie-po-spk/" TargetMode="External"/><Relationship Id="rId72" Type="http://schemas.openxmlformats.org/officeDocument/2006/relationships/hyperlink" Target="https://gisp.gov.ru/nmp/measure/12447991" TargetMode="External"/><Relationship Id="rId73" Type="http://schemas.openxmlformats.org/officeDocument/2006/relationships/hyperlink" Target="https://www.exportcenter.ru/services/spetsialnye-programmy-po-podderzhke-eksporta/gospodderzhka-transportirovka-promyshlennykh-tovarov-pp-rf-/" TargetMode="External"/><Relationship Id="rId74" Type="http://schemas.openxmlformats.org/officeDocument/2006/relationships/hyperlink" Target="https://gisp.gov.ru/nmp/measure/9516248" TargetMode="External"/><Relationship Id="rId75" Type="http://schemas.openxmlformats.org/officeDocument/2006/relationships/hyperlink" Target="https://www.exportcenter.ru/services/spetsialnye-programmy-po-podderzhke-eksporta/gospodderzhka-transportirovka-tovarov-apk/" TargetMode="External"/><Relationship Id="rId76" Type="http://schemas.openxmlformats.org/officeDocument/2006/relationships/hyperlink" Target="https://gisp.gov.ru/nmp/measure/9512857" TargetMode="External"/><Relationship Id="rId77" Type="http://schemas.openxmlformats.org/officeDocument/2006/relationships/hyperlink" Target="https://mcx.gov.ru/ministry/departments/departament-informatsionnoy-politiki-i-spetsialnykh-proektov/industry-information/info-lgotnyy-tarif-na-perevozku-zerna/" TargetMode="External"/><Relationship Id="rId78" Type="http://schemas.openxmlformats.org/officeDocument/2006/relationships/hyperlink" Target="https://www.exportcenter.ru/services/spetsialnye-programmy-po-podderzhke-eksporta/industry/gospodderzhka-posleprodazhnoe-obsluzhivanie/" TargetMode="External"/><Relationship Id="rId79" Type="http://schemas.openxmlformats.org/officeDocument/2006/relationships/hyperlink" Target="https://gisp.gov.ru/nmp/measure/12448381" TargetMode="External"/><Relationship Id="rId80" Type="http://schemas.openxmlformats.org/officeDocument/2006/relationships/hyperlink" Target="https://www.exportcenter.ru/services/spetsialnye-programmy-po-podderzhke-eksporta/agro-industrial-complex/gospodderzhka_demonstratsionno_degustatsionnye_pavilony_apk/" TargetMode="External"/><Relationship Id="rId81" Type="http://schemas.openxmlformats.org/officeDocument/2006/relationships/hyperlink" Target="https://gisp.gov.ru/nmp/measure/9514994" TargetMode="External"/><Relationship Id="rId82" Type="http://schemas.openxmlformats.org/officeDocument/2006/relationships/hyperlink" Target="https://gisp.gov.ru/nmp/measure/12447208" TargetMode="External"/><Relationship Id="rId83" Type="http://schemas.openxmlformats.org/officeDocument/2006/relationships/hyperlink" Target="https://www.exportcenter.ru/services/spetsialnye-programmy-po-podderzhke-eksporta/gospodderzhka-sertifikatsiya/" TargetMode="External"/><Relationship Id="rId84" Type="http://schemas.openxmlformats.org/officeDocument/2006/relationships/hyperlink" Target="https://gisp.gov.ru/nmp/measure/12447430" TargetMode="External"/><Relationship Id="rId85" Type="http://schemas.openxmlformats.org/officeDocument/2006/relationships/hyperlink" Target="https://www.exportcenter.ru/services/spetsialnye-programmy-po-podderzhke-eksporta/gospodderzhka-sertifikatsiya-produktsii-apk/" TargetMode="External"/><Relationship Id="rId86" Type="http://schemas.openxmlformats.org/officeDocument/2006/relationships/hyperlink" Target="https://www.exportcenter.ru/services/spetsialnye-programmy-po-podderzhke-eksporta/gospodderzhka-niokr-i-omologatsiya/" TargetMode="External"/><Relationship Id="rId87" Type="http://schemas.openxmlformats.org/officeDocument/2006/relationships/hyperlink" Target="https://gisp.gov.ru/nmp/measure/12447535" TargetMode="External"/><Relationship Id="rId88" Type="http://schemas.openxmlformats.org/officeDocument/2006/relationships/hyperlink" Target="https://www.exportcenter.ru/services/kreditno-garantiynaya-podderzhka/korp_clientam/finansirovanie-debitorskoy-zadolzhennosti/" TargetMode="External"/><Relationship Id="rId89" Type="http://schemas.openxmlformats.org/officeDocument/2006/relationships/hyperlink" Target="https://gisp.gov.ru/nmp/measure/7768832" TargetMode="External"/><Relationship Id="rId90" Type="http://schemas.openxmlformats.org/officeDocument/2006/relationships/hyperlink" Target="https://www.exportcenter.ru/services/kreditno-garantiynaya-podderzhka/korp_clientam/predeksportnoe-finansirovanie/" TargetMode="External"/><Relationship Id="rId91" Type="http://schemas.openxmlformats.org/officeDocument/2006/relationships/hyperlink" Target="https://gisp.gov.ru/nmp/measure/12448092" TargetMode="External"/><Relationship Id="rId92" Type="http://schemas.openxmlformats.org/officeDocument/2006/relationships/hyperlink" Target="https://www.exportcenter.ru/services/kreditno-garantiynaya-podderzhka/korp_clientam/kredit-dengi-na-eksport/" TargetMode="External"/><Relationship Id="rId93" Type="http://schemas.openxmlformats.org/officeDocument/2006/relationships/hyperlink" Target="https://www.exportcenter.ru/services/kreditno-garantiynaya-podderzhka/korp_clientam/eksportnyy-standart/" TargetMode="External"/><Relationship Id="rId94" Type="http://schemas.openxmlformats.org/officeDocument/2006/relationships/hyperlink" Target="https://gisp.gov.ru/nmp/measure/11268824" TargetMode="External"/><Relationship Id="rId95" Type="http://schemas.openxmlformats.org/officeDocument/2006/relationships/hyperlink" Target="https://www.exportcenter.ru/services/prodvizhenie-na-vneshnie-rynki/exhibitions-business-missions/gospodderzhka-vystavki-i-biznes-missii-rets/" TargetMode="External"/><Relationship Id="rId96" Type="http://schemas.openxmlformats.org/officeDocument/2006/relationships/hyperlink" Target="https://fasie.ru/programs/programma-internatsionalizatsiya/" TargetMode="External"/><Relationship Id="rId97" Type="http://schemas.openxmlformats.org/officeDocument/2006/relationships/hyperlink" Target="https://gisp.gov.ru/nmp/measure/8168882" TargetMode="External"/><Relationship Id="rId98" Type="http://schemas.openxmlformats.org/officeDocument/2006/relationships/hyperlink" Target="https://frprf.ru/zaymy/proizvoditelnost-truda/" TargetMode="External"/><Relationship Id="rId99" Type="http://schemas.openxmlformats.org/officeDocument/2006/relationships/hyperlink" Target="https://gisp.gov.ru/nmp/measure/9126744" TargetMode="External"/><Relationship Id="rId100" Type="http://schemas.openxmlformats.org/officeDocument/2006/relationships/hyperlink" Target="https://ivf.tatarstan.ru/programma-proizvoditelsnot-truda.htm" TargetMode="External"/><Relationship Id="rId101" Type="http://schemas.openxmlformats.org/officeDocument/2006/relationships/hyperlink" Target="https://ppt.tatarstan.ru/fabrika-protsessov.htm" TargetMode="External"/><Relationship Id="rId102" Type="http://schemas.openxmlformats.org/officeDocument/2006/relationships/hyperlink" Target="https://xn--b1aedfedwqbdfbnzkf0oe.xn--p1ai/" TargetMode="External"/><Relationship Id="rId103" Type="http://schemas.openxmlformats.org/officeDocument/2006/relationships/hyperlink" Target="https://ppt.tatarstan.ru/" TargetMode="External"/><Relationship Id="rId104" Type="http://schemas.openxmlformats.org/officeDocument/2006/relationships/hyperlink" Target="https://&#1087;&#1088;&#1086;&#1080;&#1079;&#1074;&#1086;&#1076;&#1080;&#1090;&#1077;&#1083;&#1100;&#1085;&#1086;&#1089;&#1090;&#1100;.&#1088;&#1092;/projectmembers/education/" TargetMode="External"/><Relationship Id="rId105" Type="http://schemas.openxmlformats.org/officeDocument/2006/relationships/hyperlink" Target="https://liderypro.ru/program/" TargetMode="External"/><Relationship Id="rId106" Type="http://schemas.openxmlformats.org/officeDocument/2006/relationships/hyperlink" Target="https://&#1088;&#1092;&#1088;&#1080;&#1090;.&#1088;&#1092;/support-measure/grants/grant-na-vnedrenie-rossiiskii-it-reshenii/" TargetMode="External"/><Relationship Id="rId107" Type="http://schemas.openxmlformats.org/officeDocument/2006/relationships/hyperlink" Target="https://&#1087;&#1088;&#1086;&#1080;&#1079;&#1074;&#1086;&#1076;&#1080;&#1090;&#1077;&#1083;&#1100;&#1085;&#1086;&#1089;&#1090;&#1100;.&#1088;&#1092;/projectmembers/grantovye-konkursy/" TargetMode="External"/><Relationship Id="rId108" Type="http://schemas.openxmlformats.org/officeDocument/2006/relationships/hyperlink" Target="https://invest.economy.gov.ru/grant-na-vnedrenie-rossiyskih-it-resheniy/regulations" TargetMode="External"/><Relationship Id="rId109" Type="http://schemas.openxmlformats.org/officeDocument/2006/relationships/hyperlink" Target="https://gisp.gov.ru/nmp/measure/12446565" TargetMode="External"/><Relationship Id="rId110" Type="http://schemas.openxmlformats.org/officeDocument/2006/relationships/hyperlink" Target="https://frprf.ru/navigator-gospodderzhky/spik_main/" TargetMode="External"/><Relationship Id="rId111" Type="http://schemas.openxmlformats.org/officeDocument/2006/relationships/hyperlink" Target="https://gisp.gov.ru/nmp/measure/10511015" TargetMode="External"/><Relationship Id="rId112" Type="http://schemas.openxmlformats.org/officeDocument/2006/relationships/hyperlink" Target="https://frprf.ru/navigator-gospodderzhky/spik-1-0/" TargetMode="External"/><Relationship Id="rId113" Type="http://schemas.openxmlformats.org/officeDocument/2006/relationships/hyperlink" Target="https://frprf.ru/navigator-gospodderzhky/kip/" TargetMode="External"/><Relationship Id="rId114" Type="http://schemas.openxmlformats.org/officeDocument/2006/relationships/hyperlink" Target="https://gisp.gov.ru/support-measures/list/12448166/" TargetMode="External"/><Relationship Id="rId115" Type="http://schemas.openxmlformats.org/officeDocument/2006/relationships/hyperlink" Target="https://gisp.gov.ru/support-measures/list/7782674/" TargetMode="External"/><Relationship Id="rId116" Type="http://schemas.openxmlformats.org/officeDocument/2006/relationships/hyperlink" Target="https://&#1074;&#1101;&#1073;.&#1088;&#1092;/biznesu/finansirovaniye-proyektov/promyshlennost-vysokikh-peredelov/" TargetMode="External"/><Relationship Id="rId117" Type="http://schemas.openxmlformats.org/officeDocument/2006/relationships/hyperlink" Target="https://gisp.gov.ru/nmp/measure/9181489" TargetMode="External"/><Relationship Id="rId118" Type="http://schemas.openxmlformats.org/officeDocument/2006/relationships/hyperlink" Target="https://&#1074;&#1101;&#1073;.&#1088;&#1092;/biznesu/fabrika-proektnogo-finansirovaniya/" TargetMode="External"/><Relationship Id="rId119" Type="http://schemas.openxmlformats.org/officeDocument/2006/relationships/hyperlink" Target="https://invest.economy.gov.ru/fabrika-proektnogo-finansirovaniya" TargetMode="External"/><Relationship Id="rId120" Type="http://schemas.openxmlformats.org/officeDocument/2006/relationships/hyperlink" Target="http://government.ru/news/50346/" TargetMode="External"/><Relationship Id="rId121" Type="http://schemas.openxmlformats.org/officeDocument/2006/relationships/hyperlink" Target="https://gisp.gov.ru/nmp/measure/12446927" TargetMode="External"/><Relationship Id="rId122" Type="http://schemas.openxmlformats.org/officeDocument/2006/relationships/hyperlink" Target="https://&#1074;&#1101;&#1073;.&#1088;&#1092;/podderzhka-monogorodov/index.php?sphrase_id=2756783" TargetMode="External"/><Relationship Id="rId123" Type="http://schemas.openxmlformats.org/officeDocument/2006/relationships/hyperlink" Target="https://invest.economy.gov.ru/lgotnoe-kreditovanie-v-monogorodah/regulations" TargetMode="External"/><Relationship Id="rId124" Type="http://schemas.openxmlformats.org/officeDocument/2006/relationships/hyperlink" Target="https://gisp.gov.ru/nmp/measure/12448072" TargetMode="External"/><Relationship Id="rId125" Type="http://schemas.openxmlformats.org/officeDocument/2006/relationships/hyperlink" Target="http://government.ru/news/46511/" TargetMode="External"/><Relationship Id="rId126" Type="http://schemas.openxmlformats.org/officeDocument/2006/relationships/hyperlink" Target="https://invest.economy.gov.ru/soglashenie-o-zashchite-i-pooshchrenii-kapitalovlozhenij" TargetMode="External"/><Relationship Id="rId127" Type="http://schemas.openxmlformats.org/officeDocument/2006/relationships/hyperlink" Target="https://gisp.gov.ru/nmp/measure/12447926" TargetMode="External"/><Relationship Id="rId128" Type="http://schemas.openxmlformats.org/officeDocument/2006/relationships/hyperlink" Target="https://invest.economy.gov.ru/osobye-ehkonomicheskie-zony?query=&amp;supportType=4&amp;limit=8&amp;offset=0" TargetMode="External"/><Relationship Id="rId129" Type="http://schemas.openxmlformats.org/officeDocument/2006/relationships/hyperlink" Target="https://alabuga.ru/ru/" TargetMode="External"/><Relationship Id="rId130" Type="http://schemas.openxmlformats.org/officeDocument/2006/relationships/hyperlink" Target="https://sez-innopolis.ru/" TargetMode="External"/><Relationship Id="rId131" Type="http://schemas.openxmlformats.org/officeDocument/2006/relationships/hyperlink" Target="https://gisp.gov.ru/nmp/measure/12448564" TargetMode="External"/><Relationship Id="rId132" Type="http://schemas.openxmlformats.org/officeDocument/2006/relationships/hyperlink" Target="http://government.ru/docs/all/130525/" TargetMode="External"/><Relationship Id="rId133" Type="http://schemas.openxmlformats.org/officeDocument/2006/relationships/hyperlink" Target="https://invest.economy.gov.ru/novye-investicionnye-proekty-programma-1704-" TargetMode="External"/><Relationship Id="rId134" Type="http://schemas.openxmlformats.org/officeDocument/2006/relationships/hyperlink" Target="https://invest.economy.gov.ru/investicionnaya-tarifnaya-lgota" TargetMode="External"/><Relationship Id="rId135" Type="http://schemas.openxmlformats.org/officeDocument/2006/relationships/hyperlink" Target="https://gisp.gov.ru/nmp/measure/12448516" TargetMode="External"/><Relationship Id="rId136" Type="http://schemas.openxmlformats.org/officeDocument/2006/relationships/hyperlink" Target="https://gisp.gov.ru/nmp/measure/12448625" TargetMode="External"/><Relationship Id="rId137" Type="http://schemas.openxmlformats.org/officeDocument/2006/relationships/hyperlink" Target="https://mcx.gov.ru/activity/state-support/measures/preferential-credit/" TargetMode="External"/><Relationship Id="rId138" Type="http://schemas.openxmlformats.org/officeDocument/2006/relationships/hyperlink" Target="https://gisp.gov.ru/nmp/measure/9564204" TargetMode="External"/><Relationship Id="rId139" Type="http://schemas.openxmlformats.org/officeDocument/2006/relationships/hyperlink" Target="https://mcx.gov.ru/ministry/departments/departament-ekonomiki-i-gosydarstvennoy-podderzhki-apk/industry-information/info-lgotnoe-kreditovanie-po-spk/" TargetMode="External"/><Relationship Id="rId140" Type="http://schemas.openxmlformats.org/officeDocument/2006/relationships/hyperlink" Target="https://mtsz.tatarstan.ru/zakonodatelnie-akti-rf.htm?pub_id=4461544" TargetMode="External"/><Relationship Id="rId141" Type="http://schemas.openxmlformats.org/officeDocument/2006/relationships/hyperlink" Target="https://sfr.gov.ru/branches/tatarstan/info/~0/1236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Гайнова Регина Асхатовна</dc:creator>
  <dc:description/>
  <dc:language>ru-RU</dc:language>
  <cp:revision>34</cp:revision>
  <dcterms:created xsi:type="dcterms:W3CDTF">2025-01-14T17:21:00Z</dcterms:created>
  <dcterms:modified xsi:type="dcterms:W3CDTF">2025-02-20T08:46:25Z</dcterms:modified>
</cp:coreProperties>
</file>

<file path=docProps/custom.xml><?xml version="1.0" encoding="utf-8"?>
<Properties xmlns="http://schemas.openxmlformats.org/officeDocument/2006/custom-properties" xmlns:vt="http://schemas.openxmlformats.org/officeDocument/2006/docPropsVTypes"/>
</file>